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EE257" w14:textId="77777777" w:rsidR="00F44063" w:rsidRPr="006715BA" w:rsidRDefault="00F44063" w:rsidP="00F44063">
      <w:pPr>
        <w:spacing w:line="276" w:lineRule="auto"/>
        <w:jc w:val="center"/>
        <w:rPr>
          <w:rFonts w:asciiTheme="minorHAnsi" w:hAnsiTheme="minorHAnsi" w:cstheme="minorHAnsi"/>
          <w:b/>
          <w:bCs/>
        </w:rPr>
      </w:pPr>
      <w:r w:rsidRPr="006715BA">
        <w:rPr>
          <w:rFonts w:asciiTheme="minorHAnsi" w:hAnsiTheme="minorHAnsi" w:cstheme="minorHAnsi"/>
          <w:b/>
          <w:bCs/>
        </w:rPr>
        <w:t xml:space="preserve">Mapping practical tools that facilitate the implementation of work-based learning </w:t>
      </w:r>
    </w:p>
    <w:p w14:paraId="202DE3AC" w14:textId="43A23867" w:rsidR="00F44063" w:rsidRPr="006715BA" w:rsidRDefault="00F44063" w:rsidP="00F44063">
      <w:pPr>
        <w:spacing w:line="276" w:lineRule="auto"/>
        <w:jc w:val="center"/>
        <w:rPr>
          <w:rFonts w:asciiTheme="minorHAnsi" w:hAnsiTheme="minorHAnsi" w:cstheme="minorHAnsi"/>
          <w:b/>
          <w:bCs/>
        </w:rPr>
      </w:pPr>
      <w:r w:rsidRPr="006715BA">
        <w:rPr>
          <w:rFonts w:asciiTheme="minorHAnsi" w:hAnsiTheme="minorHAnsi" w:cstheme="minorHAnsi"/>
          <w:b/>
          <w:bCs/>
        </w:rPr>
        <w:t>In the Republic of Namibia</w:t>
      </w:r>
      <w:r w:rsidRPr="006715BA">
        <w:rPr>
          <w:rStyle w:val="FootnoteReference"/>
          <w:rFonts w:asciiTheme="minorHAnsi" w:hAnsiTheme="minorHAnsi" w:cstheme="minorHAnsi"/>
          <w:b/>
          <w:bCs/>
        </w:rPr>
        <w:footnoteReference w:id="1"/>
      </w:r>
    </w:p>
    <w:p w14:paraId="745F9A46" w14:textId="77777777" w:rsidR="009245B5" w:rsidRPr="006715BA" w:rsidRDefault="009245B5" w:rsidP="009245B5">
      <w:pPr>
        <w:jc w:val="center"/>
        <w:rPr>
          <w:rFonts w:asciiTheme="minorHAnsi" w:hAnsiTheme="minorHAnsi" w:cstheme="minorHAnsi"/>
          <w:b/>
          <w:bCs/>
        </w:rPr>
      </w:pPr>
    </w:p>
    <w:p w14:paraId="12AE776D" w14:textId="5F66AF5F" w:rsidR="009245B5" w:rsidRPr="006715BA" w:rsidRDefault="009245B5" w:rsidP="005A6200">
      <w:pPr>
        <w:jc w:val="center"/>
        <w:rPr>
          <w:rFonts w:asciiTheme="minorHAnsi" w:hAnsiTheme="minorHAnsi" w:cstheme="minorHAnsi"/>
          <w:b/>
          <w:bCs/>
        </w:rPr>
      </w:pPr>
      <w:r w:rsidRPr="006715BA">
        <w:rPr>
          <w:rFonts w:asciiTheme="minorHAnsi" w:hAnsiTheme="minorHAnsi" w:cstheme="minorHAnsi"/>
          <w:b/>
          <w:bCs/>
        </w:rPr>
        <w:t>‘</w:t>
      </w:r>
      <w:r w:rsidR="009A27A3" w:rsidRPr="006715BA">
        <w:rPr>
          <w:rFonts w:asciiTheme="minorHAnsi" w:hAnsiTheme="minorHAnsi" w:cstheme="minorHAnsi"/>
          <w:b/>
          <w:bCs/>
        </w:rPr>
        <w:t>T</w:t>
      </w:r>
      <w:r w:rsidR="00067548">
        <w:rPr>
          <w:rFonts w:asciiTheme="minorHAnsi" w:hAnsiTheme="minorHAnsi" w:cstheme="minorHAnsi"/>
          <w:b/>
          <w:bCs/>
        </w:rPr>
        <w:t>raining Implementation Plan</w:t>
      </w:r>
      <w:r w:rsidR="000A3F44">
        <w:rPr>
          <w:rFonts w:asciiTheme="minorHAnsi" w:hAnsiTheme="minorHAnsi" w:cstheme="minorHAnsi"/>
          <w:b/>
          <w:bCs/>
        </w:rPr>
        <w:t xml:space="preserve"> template</w:t>
      </w:r>
      <w:r w:rsidR="00067548">
        <w:rPr>
          <w:rFonts w:asciiTheme="minorHAnsi" w:hAnsiTheme="minorHAnsi" w:cstheme="minorHAnsi"/>
          <w:b/>
          <w:bCs/>
        </w:rPr>
        <w:t xml:space="preserve"> </w:t>
      </w:r>
      <w:r w:rsidR="009A27A3" w:rsidRPr="006715BA">
        <w:rPr>
          <w:rFonts w:asciiTheme="minorHAnsi" w:hAnsiTheme="minorHAnsi" w:cstheme="minorHAnsi"/>
          <w:b/>
          <w:bCs/>
        </w:rPr>
        <w:t xml:space="preserve">supporting </w:t>
      </w:r>
      <w:r w:rsidR="00B119C2" w:rsidRPr="006715BA">
        <w:rPr>
          <w:rFonts w:asciiTheme="minorHAnsi" w:hAnsiTheme="minorHAnsi" w:cstheme="minorHAnsi"/>
          <w:b/>
          <w:bCs/>
        </w:rPr>
        <w:t xml:space="preserve">the </w:t>
      </w:r>
      <w:r w:rsidR="00067548">
        <w:rPr>
          <w:rFonts w:asciiTheme="minorHAnsi" w:hAnsiTheme="minorHAnsi" w:cstheme="minorHAnsi"/>
          <w:b/>
          <w:bCs/>
        </w:rPr>
        <w:t>delivery</w:t>
      </w:r>
      <w:r w:rsidR="00B119C2" w:rsidRPr="006715BA">
        <w:rPr>
          <w:rFonts w:asciiTheme="minorHAnsi" w:hAnsiTheme="minorHAnsi" w:cstheme="minorHAnsi"/>
          <w:b/>
          <w:bCs/>
        </w:rPr>
        <w:t xml:space="preserve"> of work-integrated learning (WIL) in </w:t>
      </w:r>
      <w:r w:rsidR="009A27A3" w:rsidRPr="006715BA">
        <w:rPr>
          <w:rFonts w:asciiTheme="minorHAnsi" w:hAnsiTheme="minorHAnsi" w:cstheme="minorHAnsi"/>
          <w:b/>
          <w:bCs/>
        </w:rPr>
        <w:t>Namibia</w:t>
      </w:r>
      <w:r w:rsidR="00B119C2" w:rsidRPr="006715BA">
        <w:rPr>
          <w:rFonts w:asciiTheme="minorHAnsi" w:hAnsiTheme="minorHAnsi" w:cstheme="minorHAnsi"/>
          <w:b/>
          <w:bCs/>
        </w:rPr>
        <w:t>’</w:t>
      </w:r>
      <w:r w:rsidR="004547A3" w:rsidRPr="006715BA">
        <w:rPr>
          <w:rStyle w:val="FootnoteReference"/>
          <w:rFonts w:asciiTheme="minorHAnsi" w:hAnsiTheme="minorHAnsi" w:cstheme="minorHAnsi"/>
          <w:b/>
          <w:bCs/>
        </w:rPr>
        <w:footnoteReference w:id="2"/>
      </w:r>
      <w:r w:rsidR="00B119C2" w:rsidRPr="006715BA">
        <w:rPr>
          <w:rFonts w:asciiTheme="minorHAnsi" w:hAnsiTheme="minorHAnsi" w:cstheme="minorHAnsi"/>
          <w:b/>
          <w:bCs/>
        </w:rPr>
        <w:t xml:space="preserve"> </w:t>
      </w:r>
    </w:p>
    <w:p w14:paraId="45D94388" w14:textId="77777777" w:rsidR="005A6200" w:rsidRPr="006715BA" w:rsidRDefault="005A6200" w:rsidP="005A6200">
      <w:pPr>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1696"/>
        <w:gridCol w:w="7932"/>
      </w:tblGrid>
      <w:tr w:rsidR="009245B5" w:rsidRPr="00EC3404" w14:paraId="5A98F8BE" w14:textId="77777777" w:rsidTr="00221A2C">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A285E26" w14:textId="2476E019" w:rsidR="009245B5" w:rsidRPr="00EC3404" w:rsidRDefault="009A27A3" w:rsidP="00221A2C">
            <w:pPr>
              <w:spacing w:line="276" w:lineRule="auto"/>
              <w:rPr>
                <w:rFonts w:asciiTheme="minorHAnsi" w:hAnsiTheme="minorHAnsi" w:cstheme="minorHAnsi"/>
                <w:b/>
                <w:bCs/>
                <w:color w:val="000000" w:themeColor="text1"/>
                <w:sz w:val="22"/>
                <w:szCs w:val="22"/>
              </w:rPr>
            </w:pPr>
            <w:r w:rsidRPr="00EC3404">
              <w:rPr>
                <w:rFonts w:asciiTheme="minorHAnsi" w:hAnsiTheme="minorHAnsi" w:cstheme="minorHAnsi"/>
                <w:b/>
                <w:bCs/>
                <w:color w:val="000000" w:themeColor="text1"/>
                <w:sz w:val="22"/>
                <w:szCs w:val="22"/>
              </w:rPr>
              <w:t>Tools</w:t>
            </w:r>
          </w:p>
        </w:tc>
        <w:tc>
          <w:tcPr>
            <w:tcW w:w="7932" w:type="dxa"/>
            <w:tcBorders>
              <w:top w:val="single" w:sz="4" w:space="0" w:color="auto"/>
              <w:left w:val="single" w:sz="4" w:space="0" w:color="auto"/>
              <w:bottom w:val="single" w:sz="4" w:space="0" w:color="auto"/>
              <w:right w:val="single" w:sz="4" w:space="0" w:color="auto"/>
            </w:tcBorders>
            <w:vAlign w:val="center"/>
            <w:hideMark/>
          </w:tcPr>
          <w:p w14:paraId="09B0B193" w14:textId="2C36C3A2" w:rsidR="009C1120" w:rsidRPr="00067548" w:rsidRDefault="00067548" w:rsidP="00067548">
            <w:pPr>
              <w:spacing w:line="276" w:lineRule="auto"/>
              <w:rPr>
                <w:rFonts w:cstheme="minorHAnsi"/>
                <w:color w:val="000000" w:themeColor="text1"/>
              </w:rPr>
            </w:pPr>
            <w:r>
              <w:rPr>
                <w:rFonts w:asciiTheme="minorHAnsi" w:hAnsiTheme="minorHAnsi" w:cstheme="minorHAnsi"/>
                <w:color w:val="000000" w:themeColor="text1"/>
                <w:sz w:val="22"/>
                <w:szCs w:val="22"/>
              </w:rPr>
              <w:t xml:space="preserve">Training Implementation Plan template </w:t>
            </w:r>
            <w:r w:rsidR="009A27A3" w:rsidRPr="00EC3404">
              <w:rPr>
                <w:rFonts w:asciiTheme="minorHAnsi" w:hAnsiTheme="minorHAnsi" w:cstheme="minorHAnsi"/>
                <w:color w:val="000000" w:themeColor="text1"/>
                <w:sz w:val="22"/>
                <w:szCs w:val="22"/>
              </w:rPr>
              <w:t>introduced</w:t>
            </w:r>
            <w:r w:rsidR="00773492" w:rsidRPr="00EC3404">
              <w:rPr>
                <w:rFonts w:asciiTheme="minorHAnsi" w:hAnsiTheme="minorHAnsi" w:cstheme="minorHAnsi"/>
                <w:color w:val="000000" w:themeColor="text1"/>
                <w:sz w:val="22"/>
                <w:szCs w:val="22"/>
              </w:rPr>
              <w:t xml:space="preserve"> to </w:t>
            </w:r>
            <w:r w:rsidR="009A27A3" w:rsidRPr="00EC3404">
              <w:rPr>
                <w:rFonts w:asciiTheme="minorHAnsi" w:hAnsiTheme="minorHAnsi" w:cstheme="minorHAnsi"/>
                <w:color w:val="000000" w:themeColor="text1"/>
                <w:sz w:val="22"/>
                <w:szCs w:val="22"/>
              </w:rPr>
              <w:t>support the</w:t>
            </w:r>
            <w:r w:rsidR="007E5174">
              <w:rPr>
                <w:rFonts w:asciiTheme="minorHAnsi" w:hAnsiTheme="minorHAnsi" w:cstheme="minorHAnsi"/>
                <w:color w:val="000000" w:themeColor="text1"/>
                <w:sz w:val="22"/>
                <w:szCs w:val="22"/>
              </w:rPr>
              <w:t xml:space="preserve"> delivery</w:t>
            </w:r>
            <w:r w:rsidR="00DD3228" w:rsidRPr="00EC3404">
              <w:rPr>
                <w:rFonts w:asciiTheme="minorHAnsi" w:hAnsiTheme="minorHAnsi" w:cstheme="minorHAnsi"/>
                <w:color w:val="000000" w:themeColor="text1"/>
                <w:sz w:val="22"/>
                <w:szCs w:val="22"/>
              </w:rPr>
              <w:t xml:space="preserve"> of work-integrated learning (WIL)</w:t>
            </w:r>
            <w:r w:rsidR="00DD3228" w:rsidRPr="00EC3404">
              <w:rPr>
                <w:rStyle w:val="FootnoteReference"/>
                <w:rFonts w:asciiTheme="minorHAnsi" w:hAnsiTheme="minorHAnsi" w:cstheme="minorHAnsi"/>
                <w:color w:val="000000" w:themeColor="text1"/>
                <w:sz w:val="22"/>
                <w:szCs w:val="22"/>
              </w:rPr>
              <w:footnoteReference w:id="3"/>
            </w:r>
            <w:r w:rsidR="00DD3228" w:rsidRPr="00EC3404">
              <w:rPr>
                <w:rFonts w:asciiTheme="minorHAnsi" w:hAnsiTheme="minorHAnsi" w:cstheme="minorHAnsi"/>
                <w:color w:val="000000" w:themeColor="text1"/>
                <w:sz w:val="22"/>
                <w:szCs w:val="22"/>
              </w:rPr>
              <w:t xml:space="preserve"> </w:t>
            </w:r>
            <w:r w:rsidR="007E5174">
              <w:rPr>
                <w:rFonts w:asciiTheme="minorHAnsi" w:hAnsiTheme="minorHAnsi" w:cstheme="minorHAnsi"/>
                <w:color w:val="000000" w:themeColor="text1"/>
                <w:sz w:val="22"/>
                <w:szCs w:val="22"/>
              </w:rPr>
              <w:t>programmes</w:t>
            </w:r>
            <w:r w:rsidR="00DD3228" w:rsidRPr="00EC3404">
              <w:rPr>
                <w:rFonts w:asciiTheme="minorHAnsi" w:hAnsiTheme="minorHAnsi" w:cstheme="minorHAnsi"/>
                <w:color w:val="000000" w:themeColor="text1"/>
                <w:sz w:val="22"/>
                <w:szCs w:val="22"/>
              </w:rPr>
              <w:t xml:space="preserve"> in </w:t>
            </w:r>
            <w:r w:rsidR="009A27A3" w:rsidRPr="00EC3404">
              <w:rPr>
                <w:rFonts w:asciiTheme="minorHAnsi" w:hAnsiTheme="minorHAnsi" w:cstheme="minorHAnsi"/>
                <w:color w:val="000000" w:themeColor="text1"/>
                <w:sz w:val="22"/>
                <w:szCs w:val="22"/>
              </w:rPr>
              <w:t>Namibia</w:t>
            </w:r>
            <w:r w:rsidR="002D6326" w:rsidRPr="00EC3404">
              <w:rPr>
                <w:rFonts w:asciiTheme="minorHAnsi" w:hAnsiTheme="minorHAnsi" w:cstheme="minorHAnsi"/>
                <w:color w:val="000000" w:themeColor="text1"/>
                <w:sz w:val="22"/>
                <w:szCs w:val="22"/>
              </w:rPr>
              <w:t xml:space="preserve">. </w:t>
            </w:r>
          </w:p>
        </w:tc>
      </w:tr>
      <w:tr w:rsidR="009245B5" w:rsidRPr="00EC3404" w14:paraId="198DE20A" w14:textId="77777777" w:rsidTr="00221A2C">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98B6E89" w14:textId="32AFCE41" w:rsidR="009245B5" w:rsidRPr="00EC3404" w:rsidRDefault="00A00EEE" w:rsidP="00A00EEE">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Tool </w:t>
            </w:r>
            <w:bookmarkStart w:id="0" w:name="_GoBack"/>
            <w:bookmarkEnd w:id="0"/>
            <w:r w:rsidR="009245B5" w:rsidRPr="00EC3404">
              <w:rPr>
                <w:rFonts w:asciiTheme="minorHAnsi" w:hAnsiTheme="minorHAnsi" w:cstheme="minorHAnsi"/>
                <w:b/>
                <w:bCs/>
                <w:color w:val="000000" w:themeColor="text1"/>
                <w:sz w:val="22"/>
                <w:szCs w:val="22"/>
              </w:rPr>
              <w:t>focus</w:t>
            </w:r>
          </w:p>
        </w:tc>
        <w:tc>
          <w:tcPr>
            <w:tcW w:w="7932" w:type="dxa"/>
            <w:tcBorders>
              <w:top w:val="single" w:sz="4" w:space="0" w:color="auto"/>
              <w:left w:val="single" w:sz="4" w:space="0" w:color="auto"/>
              <w:bottom w:val="single" w:sz="4" w:space="0" w:color="auto"/>
              <w:right w:val="single" w:sz="4" w:space="0" w:color="auto"/>
            </w:tcBorders>
            <w:hideMark/>
          </w:tcPr>
          <w:p w14:paraId="351C4B9F" w14:textId="1950FC2B" w:rsidR="009A27A3" w:rsidRPr="00EC3404" w:rsidRDefault="009245B5" w:rsidP="006715BA">
            <w:pPr>
              <w:spacing w:line="276" w:lineRule="auto"/>
              <w:rPr>
                <w:rFonts w:asciiTheme="minorHAnsi" w:hAnsiTheme="minorHAnsi" w:cstheme="minorHAnsi"/>
                <w:color w:val="000000" w:themeColor="text1"/>
                <w:sz w:val="22"/>
                <w:szCs w:val="22"/>
              </w:rPr>
            </w:pPr>
            <w:r w:rsidRPr="00EC3404">
              <w:rPr>
                <w:rFonts w:asciiTheme="minorHAnsi" w:hAnsiTheme="minorHAnsi" w:cstheme="minorHAnsi"/>
                <w:color w:val="000000" w:themeColor="text1"/>
                <w:sz w:val="22"/>
                <w:szCs w:val="22"/>
              </w:rPr>
              <w:t>Th</w:t>
            </w:r>
            <w:r w:rsidR="009A27A3" w:rsidRPr="00EC3404">
              <w:rPr>
                <w:rFonts w:asciiTheme="minorHAnsi" w:hAnsiTheme="minorHAnsi" w:cstheme="minorHAnsi"/>
                <w:color w:val="000000" w:themeColor="text1"/>
                <w:sz w:val="22"/>
                <w:szCs w:val="22"/>
              </w:rPr>
              <w:t xml:space="preserve">e </w:t>
            </w:r>
            <w:r w:rsidRPr="00EC3404">
              <w:rPr>
                <w:rFonts w:asciiTheme="minorHAnsi" w:hAnsiTheme="minorHAnsi" w:cstheme="minorHAnsi"/>
                <w:color w:val="000000" w:themeColor="text1"/>
                <w:sz w:val="22"/>
                <w:szCs w:val="22"/>
              </w:rPr>
              <w:t>tool</w:t>
            </w:r>
            <w:r w:rsidR="00067548">
              <w:rPr>
                <w:rFonts w:asciiTheme="minorHAnsi" w:hAnsiTheme="minorHAnsi" w:cstheme="minorHAnsi"/>
                <w:color w:val="000000" w:themeColor="text1"/>
                <w:sz w:val="22"/>
                <w:szCs w:val="22"/>
              </w:rPr>
              <w:t xml:space="preserve">, used as an annex to </w:t>
            </w:r>
            <w:r w:rsidR="00777E8F">
              <w:rPr>
                <w:rFonts w:asciiTheme="minorHAnsi" w:hAnsiTheme="minorHAnsi" w:cstheme="minorHAnsi"/>
                <w:color w:val="000000" w:themeColor="text1"/>
                <w:sz w:val="22"/>
                <w:szCs w:val="22"/>
              </w:rPr>
              <w:t>Namibian Training Authority (</w:t>
            </w:r>
            <w:r w:rsidR="00067548">
              <w:rPr>
                <w:rFonts w:asciiTheme="minorHAnsi" w:hAnsiTheme="minorHAnsi" w:cstheme="minorHAnsi"/>
                <w:color w:val="000000" w:themeColor="text1"/>
                <w:sz w:val="22"/>
                <w:szCs w:val="22"/>
              </w:rPr>
              <w:t>NTA</w:t>
            </w:r>
            <w:r w:rsidR="00777E8F">
              <w:rPr>
                <w:rFonts w:asciiTheme="minorHAnsi" w:hAnsiTheme="minorHAnsi" w:cstheme="minorHAnsi"/>
                <w:color w:val="000000" w:themeColor="text1"/>
                <w:sz w:val="22"/>
                <w:szCs w:val="22"/>
              </w:rPr>
              <w:t>)</w:t>
            </w:r>
            <w:r w:rsidR="00067548">
              <w:rPr>
                <w:rFonts w:asciiTheme="minorHAnsi" w:hAnsiTheme="minorHAnsi" w:cstheme="minorHAnsi"/>
                <w:color w:val="000000" w:themeColor="text1"/>
                <w:sz w:val="22"/>
                <w:szCs w:val="22"/>
              </w:rPr>
              <w:t xml:space="preserve"> funding agreements</w:t>
            </w:r>
            <w:r w:rsidR="00980823">
              <w:rPr>
                <w:rStyle w:val="FootnoteReference"/>
                <w:rFonts w:asciiTheme="minorHAnsi" w:hAnsiTheme="minorHAnsi" w:cstheme="minorHAnsi"/>
                <w:color w:val="000000" w:themeColor="text1"/>
                <w:sz w:val="22"/>
                <w:szCs w:val="22"/>
              </w:rPr>
              <w:footnoteReference w:id="4"/>
            </w:r>
            <w:r w:rsidR="00980823">
              <w:rPr>
                <w:rFonts w:asciiTheme="minorHAnsi" w:hAnsiTheme="minorHAnsi" w:cstheme="minorHAnsi"/>
                <w:color w:val="000000" w:themeColor="text1"/>
                <w:sz w:val="22"/>
                <w:szCs w:val="22"/>
              </w:rPr>
              <w:t xml:space="preserve"> </w:t>
            </w:r>
            <w:r w:rsidR="00067548">
              <w:rPr>
                <w:rFonts w:asciiTheme="minorHAnsi" w:hAnsiTheme="minorHAnsi" w:cstheme="minorHAnsi"/>
                <w:color w:val="000000" w:themeColor="text1"/>
                <w:sz w:val="22"/>
                <w:szCs w:val="22"/>
              </w:rPr>
              <w:t>signed with employers, record</w:t>
            </w:r>
            <w:r w:rsidR="00980823">
              <w:rPr>
                <w:rFonts w:asciiTheme="minorHAnsi" w:hAnsiTheme="minorHAnsi" w:cstheme="minorHAnsi"/>
                <w:color w:val="000000" w:themeColor="text1"/>
                <w:sz w:val="22"/>
                <w:szCs w:val="22"/>
              </w:rPr>
              <w:t>s</w:t>
            </w:r>
            <w:r w:rsidR="00067548">
              <w:rPr>
                <w:rFonts w:asciiTheme="minorHAnsi" w:hAnsiTheme="minorHAnsi" w:cstheme="minorHAnsi"/>
                <w:color w:val="000000" w:themeColor="text1"/>
                <w:sz w:val="22"/>
                <w:szCs w:val="22"/>
              </w:rPr>
              <w:t xml:space="preserve"> information related to NTA supported WIL programmes</w:t>
            </w:r>
            <w:r w:rsidR="00980823">
              <w:rPr>
                <w:rFonts w:asciiTheme="minorHAnsi" w:hAnsiTheme="minorHAnsi" w:cstheme="minorHAnsi"/>
                <w:color w:val="000000" w:themeColor="text1"/>
                <w:sz w:val="22"/>
                <w:szCs w:val="22"/>
              </w:rPr>
              <w:t xml:space="preserve">, </w:t>
            </w:r>
            <w:r w:rsidR="007E5174">
              <w:rPr>
                <w:rFonts w:asciiTheme="minorHAnsi" w:hAnsiTheme="minorHAnsi" w:cstheme="minorHAnsi"/>
                <w:color w:val="000000" w:themeColor="text1"/>
                <w:sz w:val="22"/>
                <w:szCs w:val="22"/>
              </w:rPr>
              <w:t>ensur</w:t>
            </w:r>
            <w:r w:rsidR="00980823">
              <w:rPr>
                <w:rFonts w:asciiTheme="minorHAnsi" w:hAnsiTheme="minorHAnsi" w:cstheme="minorHAnsi"/>
                <w:color w:val="000000" w:themeColor="text1"/>
                <w:sz w:val="22"/>
                <w:szCs w:val="22"/>
              </w:rPr>
              <w:t>ing</w:t>
            </w:r>
            <w:r w:rsidR="007E5174">
              <w:rPr>
                <w:rFonts w:asciiTheme="minorHAnsi" w:hAnsiTheme="minorHAnsi" w:cstheme="minorHAnsi"/>
                <w:color w:val="000000" w:themeColor="text1"/>
                <w:sz w:val="22"/>
                <w:szCs w:val="22"/>
              </w:rPr>
              <w:t xml:space="preserve"> that criteria related to </w:t>
            </w:r>
            <w:r w:rsidR="000E22CF">
              <w:rPr>
                <w:rFonts w:asciiTheme="minorHAnsi" w:hAnsiTheme="minorHAnsi" w:cstheme="minorHAnsi"/>
                <w:color w:val="000000" w:themeColor="text1"/>
                <w:sz w:val="22"/>
                <w:szCs w:val="22"/>
              </w:rPr>
              <w:t>Namibia Training Authority (NTA)</w:t>
            </w:r>
            <w:r w:rsidR="009A27A3" w:rsidRPr="00EC3404">
              <w:rPr>
                <w:rFonts w:asciiTheme="minorHAnsi" w:hAnsiTheme="minorHAnsi" w:cstheme="minorHAnsi"/>
                <w:color w:val="000000" w:themeColor="text1"/>
                <w:sz w:val="22"/>
                <w:szCs w:val="22"/>
              </w:rPr>
              <w:t xml:space="preserve"> WIL procedures and guidelines</w:t>
            </w:r>
            <w:r w:rsidR="007E5174">
              <w:rPr>
                <w:rFonts w:asciiTheme="minorHAnsi" w:hAnsiTheme="minorHAnsi" w:cstheme="minorHAnsi"/>
                <w:color w:val="000000" w:themeColor="text1"/>
                <w:sz w:val="22"/>
                <w:szCs w:val="22"/>
              </w:rPr>
              <w:t xml:space="preserve"> are being included in programme </w:t>
            </w:r>
            <w:r w:rsidR="00980823">
              <w:rPr>
                <w:rFonts w:asciiTheme="minorHAnsi" w:hAnsiTheme="minorHAnsi" w:cstheme="minorHAnsi"/>
                <w:color w:val="000000" w:themeColor="text1"/>
                <w:sz w:val="22"/>
                <w:szCs w:val="22"/>
              </w:rPr>
              <w:t>planning.</w:t>
            </w:r>
          </w:p>
        </w:tc>
      </w:tr>
      <w:tr w:rsidR="009245B5" w:rsidRPr="00EC3404" w14:paraId="410DCF79" w14:textId="77777777" w:rsidTr="00EC3404">
        <w:trPr>
          <w:trHeight w:val="58"/>
        </w:trPr>
        <w:tc>
          <w:tcPr>
            <w:tcW w:w="1696" w:type="dxa"/>
            <w:tcBorders>
              <w:top w:val="single" w:sz="4" w:space="0" w:color="auto"/>
              <w:left w:val="single" w:sz="4" w:space="0" w:color="auto"/>
              <w:bottom w:val="single" w:sz="4" w:space="0" w:color="auto"/>
              <w:right w:val="single" w:sz="4" w:space="0" w:color="auto"/>
            </w:tcBorders>
            <w:vAlign w:val="center"/>
            <w:hideMark/>
          </w:tcPr>
          <w:p w14:paraId="732553D9" w14:textId="77777777" w:rsidR="009245B5" w:rsidRPr="00EC3404" w:rsidRDefault="009245B5" w:rsidP="00221A2C">
            <w:pPr>
              <w:spacing w:line="276" w:lineRule="auto"/>
              <w:rPr>
                <w:rFonts w:asciiTheme="minorHAnsi" w:hAnsiTheme="minorHAnsi" w:cstheme="minorHAnsi"/>
                <w:b/>
                <w:bCs/>
                <w:color w:val="000000" w:themeColor="text1"/>
                <w:sz w:val="22"/>
                <w:szCs w:val="22"/>
              </w:rPr>
            </w:pPr>
            <w:r w:rsidRPr="00EC3404">
              <w:rPr>
                <w:rFonts w:asciiTheme="minorHAnsi" w:hAnsiTheme="minorHAnsi" w:cstheme="minorHAnsi"/>
                <w:b/>
                <w:bCs/>
                <w:color w:val="000000" w:themeColor="text1"/>
                <w:sz w:val="22"/>
                <w:szCs w:val="22"/>
              </w:rPr>
              <w:t>Target group</w:t>
            </w:r>
          </w:p>
        </w:tc>
        <w:tc>
          <w:tcPr>
            <w:tcW w:w="7932" w:type="dxa"/>
            <w:tcBorders>
              <w:top w:val="single" w:sz="4" w:space="0" w:color="auto"/>
              <w:left w:val="single" w:sz="4" w:space="0" w:color="auto"/>
              <w:bottom w:val="single" w:sz="4" w:space="0" w:color="auto"/>
              <w:right w:val="single" w:sz="4" w:space="0" w:color="auto"/>
            </w:tcBorders>
            <w:hideMark/>
          </w:tcPr>
          <w:p w14:paraId="20B0FE05" w14:textId="1E5A284E" w:rsidR="009A27A3" w:rsidRPr="00EC3404" w:rsidRDefault="004424B9" w:rsidP="006715BA">
            <w:pPr>
              <w:spacing w:line="276" w:lineRule="auto"/>
              <w:rPr>
                <w:rFonts w:asciiTheme="minorHAnsi" w:hAnsiTheme="minorHAnsi" w:cstheme="minorHAnsi"/>
                <w:color w:val="000000" w:themeColor="text1"/>
                <w:sz w:val="22"/>
                <w:szCs w:val="22"/>
              </w:rPr>
            </w:pPr>
            <w:r w:rsidRPr="00EC3404">
              <w:rPr>
                <w:rFonts w:asciiTheme="minorHAnsi" w:hAnsiTheme="minorHAnsi" w:cstheme="minorHAnsi"/>
                <w:color w:val="000000" w:themeColor="text1"/>
                <w:sz w:val="22"/>
                <w:szCs w:val="22"/>
              </w:rPr>
              <w:t>Employers planning to hire apprentices, prospective apprentices/trainees, TVET providers (TVETPs) partnering employers in the delivery of apprenticeships, industry mentors, N</w:t>
            </w:r>
            <w:r w:rsidR="000E22CF">
              <w:rPr>
                <w:rFonts w:asciiTheme="minorHAnsi" w:hAnsiTheme="minorHAnsi" w:cstheme="minorHAnsi"/>
                <w:color w:val="000000" w:themeColor="text1"/>
                <w:sz w:val="22"/>
                <w:szCs w:val="22"/>
              </w:rPr>
              <w:t xml:space="preserve">TA </w:t>
            </w:r>
            <w:r w:rsidRPr="00EC3404">
              <w:rPr>
                <w:rFonts w:asciiTheme="minorHAnsi" w:hAnsiTheme="minorHAnsi" w:cstheme="minorHAnsi"/>
                <w:color w:val="000000" w:themeColor="text1"/>
                <w:sz w:val="22"/>
                <w:szCs w:val="22"/>
              </w:rPr>
              <w:t>officials</w:t>
            </w:r>
            <w:r w:rsidR="006715BA">
              <w:rPr>
                <w:rFonts w:asciiTheme="minorHAnsi" w:hAnsiTheme="minorHAnsi" w:cstheme="minorHAnsi"/>
                <w:color w:val="000000" w:themeColor="text1"/>
                <w:sz w:val="22"/>
                <w:szCs w:val="22"/>
              </w:rPr>
              <w:t>.</w:t>
            </w:r>
          </w:p>
        </w:tc>
      </w:tr>
    </w:tbl>
    <w:p w14:paraId="10D26E27" w14:textId="467BF182" w:rsidR="009245B5" w:rsidRDefault="009245B5">
      <w:pPr>
        <w:rPr>
          <w:b/>
          <w:bCs/>
        </w:rPr>
      </w:pPr>
    </w:p>
    <w:p w14:paraId="453AB363" w14:textId="05F5345E" w:rsidR="00E95434" w:rsidRPr="00EC3404" w:rsidRDefault="00E95434" w:rsidP="00667C11">
      <w:pPr>
        <w:pBdr>
          <w:bottom w:val="single" w:sz="4" w:space="1" w:color="auto"/>
        </w:pBdr>
        <w:spacing w:line="276" w:lineRule="auto"/>
        <w:rPr>
          <w:rFonts w:asciiTheme="minorHAnsi" w:hAnsiTheme="minorHAnsi" w:cstheme="minorHAnsi"/>
          <w:b/>
          <w:bCs/>
        </w:rPr>
      </w:pPr>
      <w:r w:rsidRPr="00EC3404">
        <w:rPr>
          <w:rFonts w:asciiTheme="minorHAnsi" w:hAnsiTheme="minorHAnsi" w:cstheme="minorHAnsi"/>
          <w:b/>
          <w:bCs/>
        </w:rPr>
        <w:t>TVET in Namibia</w:t>
      </w:r>
    </w:p>
    <w:p w14:paraId="2AE6A6CF" w14:textId="5E092621" w:rsidR="00E95434" w:rsidRPr="00EC3404" w:rsidRDefault="00B2488D" w:rsidP="00B324CF">
      <w:pPr>
        <w:spacing w:after="120" w:line="276" w:lineRule="auto"/>
        <w:rPr>
          <w:rFonts w:asciiTheme="minorHAnsi" w:hAnsiTheme="minorHAnsi" w:cstheme="minorHAnsi"/>
          <w:b/>
          <w:bCs/>
          <w:sz w:val="22"/>
          <w:szCs w:val="22"/>
        </w:rPr>
      </w:pPr>
      <w:r w:rsidRPr="00EC3404">
        <w:rPr>
          <w:rFonts w:asciiTheme="minorHAnsi" w:hAnsiTheme="minorHAnsi" w:cstheme="minorHAnsi"/>
          <w:b/>
          <w:bCs/>
          <w:sz w:val="22"/>
          <w:szCs w:val="22"/>
        </w:rPr>
        <w:t xml:space="preserve">Introduction </w:t>
      </w:r>
    </w:p>
    <w:p w14:paraId="69F8134F" w14:textId="3E2D47FF" w:rsidR="003B5E2C" w:rsidRPr="00EC3404" w:rsidRDefault="00DA31A9" w:rsidP="00B324CF">
      <w:pPr>
        <w:spacing w:after="120" w:line="276" w:lineRule="auto"/>
        <w:rPr>
          <w:rFonts w:asciiTheme="minorHAnsi" w:hAnsiTheme="minorHAnsi" w:cstheme="minorHAnsi"/>
          <w:sz w:val="22"/>
          <w:szCs w:val="22"/>
        </w:rPr>
      </w:pPr>
      <w:r w:rsidRPr="00EC3404">
        <w:rPr>
          <w:rFonts w:asciiTheme="minorHAnsi" w:hAnsiTheme="minorHAnsi" w:cstheme="minorHAnsi"/>
          <w:sz w:val="22"/>
          <w:szCs w:val="22"/>
        </w:rPr>
        <w:t xml:space="preserve">Namibia’s economic growth </w:t>
      </w:r>
      <w:r w:rsidR="00D0596B" w:rsidRPr="00EC3404">
        <w:rPr>
          <w:rFonts w:asciiTheme="minorHAnsi" w:hAnsiTheme="minorHAnsi" w:cstheme="minorHAnsi"/>
          <w:sz w:val="22"/>
          <w:szCs w:val="22"/>
        </w:rPr>
        <w:t>is</w:t>
      </w:r>
      <w:r w:rsidRPr="00EC3404">
        <w:rPr>
          <w:rFonts w:asciiTheme="minorHAnsi" w:hAnsiTheme="minorHAnsi" w:cstheme="minorHAnsi"/>
          <w:sz w:val="22"/>
          <w:szCs w:val="22"/>
        </w:rPr>
        <w:t xml:space="preserve"> threatened by its dependency on low productivity sectors</w:t>
      </w:r>
      <w:r w:rsidR="00D0596B" w:rsidRPr="00EC3404">
        <w:rPr>
          <w:rFonts w:asciiTheme="minorHAnsi" w:hAnsiTheme="minorHAnsi" w:cstheme="minorHAnsi"/>
          <w:sz w:val="22"/>
          <w:szCs w:val="22"/>
        </w:rPr>
        <w:t xml:space="preserve">, a </w:t>
      </w:r>
      <w:r w:rsidR="00667C11" w:rsidRPr="00EC3404">
        <w:rPr>
          <w:rFonts w:asciiTheme="minorHAnsi" w:hAnsiTheme="minorHAnsi" w:cstheme="minorHAnsi"/>
          <w:sz w:val="22"/>
          <w:szCs w:val="22"/>
        </w:rPr>
        <w:t xml:space="preserve">vulnerability </w:t>
      </w:r>
      <w:r w:rsidR="00D0596B" w:rsidRPr="00EC3404">
        <w:rPr>
          <w:rFonts w:asciiTheme="minorHAnsi" w:hAnsiTheme="minorHAnsi" w:cstheme="minorHAnsi"/>
          <w:sz w:val="22"/>
          <w:szCs w:val="22"/>
        </w:rPr>
        <w:t xml:space="preserve">that </w:t>
      </w:r>
      <w:r w:rsidR="00667C11" w:rsidRPr="00EC3404">
        <w:rPr>
          <w:rFonts w:asciiTheme="minorHAnsi" w:hAnsiTheme="minorHAnsi" w:cstheme="minorHAnsi"/>
          <w:sz w:val="22"/>
          <w:szCs w:val="22"/>
        </w:rPr>
        <w:t xml:space="preserve">has </w:t>
      </w:r>
      <w:r w:rsidRPr="00EC3404">
        <w:rPr>
          <w:rFonts w:asciiTheme="minorHAnsi" w:hAnsiTheme="minorHAnsi" w:cstheme="minorHAnsi"/>
          <w:sz w:val="22"/>
          <w:szCs w:val="22"/>
        </w:rPr>
        <w:t xml:space="preserve">manifested itself </w:t>
      </w:r>
      <w:r w:rsidR="00DA4CC6" w:rsidRPr="00EC3404">
        <w:rPr>
          <w:rFonts w:asciiTheme="minorHAnsi" w:hAnsiTheme="minorHAnsi" w:cstheme="minorHAnsi"/>
          <w:sz w:val="22"/>
          <w:szCs w:val="22"/>
        </w:rPr>
        <w:t>with high levels of youth (15-34 age group) unemployment</w:t>
      </w:r>
      <w:r w:rsidR="00667C11" w:rsidRPr="00EC3404">
        <w:rPr>
          <w:rFonts w:asciiTheme="minorHAnsi" w:hAnsiTheme="minorHAnsi" w:cstheme="minorHAnsi"/>
          <w:sz w:val="22"/>
          <w:szCs w:val="22"/>
        </w:rPr>
        <w:t>, measured at</w:t>
      </w:r>
      <w:r w:rsidR="00DA4CC6" w:rsidRPr="00EC3404">
        <w:rPr>
          <w:rFonts w:asciiTheme="minorHAnsi" w:hAnsiTheme="minorHAnsi" w:cstheme="minorHAnsi"/>
          <w:sz w:val="22"/>
          <w:szCs w:val="22"/>
        </w:rPr>
        <w:t xml:space="preserve"> 46.1% in 2018</w:t>
      </w:r>
      <w:r w:rsidR="00DA4CC6" w:rsidRPr="00EC3404">
        <w:rPr>
          <w:rStyle w:val="FootnoteReference"/>
          <w:rFonts w:asciiTheme="minorHAnsi" w:hAnsiTheme="minorHAnsi" w:cstheme="minorHAnsi"/>
          <w:sz w:val="22"/>
          <w:szCs w:val="22"/>
        </w:rPr>
        <w:footnoteReference w:id="5"/>
      </w:r>
      <w:r w:rsidR="00DA4CC6" w:rsidRPr="00EC3404">
        <w:rPr>
          <w:rFonts w:asciiTheme="minorHAnsi" w:hAnsiTheme="minorHAnsi" w:cstheme="minorHAnsi"/>
          <w:sz w:val="22"/>
          <w:szCs w:val="22"/>
        </w:rPr>
        <w:t xml:space="preserve">. </w:t>
      </w:r>
      <w:r w:rsidR="003B5E2C" w:rsidRPr="00EC3404">
        <w:rPr>
          <w:rFonts w:asciiTheme="minorHAnsi" w:hAnsiTheme="minorHAnsi" w:cstheme="minorHAnsi"/>
          <w:sz w:val="22"/>
          <w:szCs w:val="22"/>
        </w:rPr>
        <w:t>The need to utilise Namibia’s human resource through an efficient and effective TVET system is captured in the country’s ‘Vision 2030’ which anticipates the transformation of the Namibian economy into an industrialised and knowledge-based economy. Vision 2030 is being delivered through a series of National Development Plans, which include TVET objectives related to:</w:t>
      </w:r>
    </w:p>
    <w:p w14:paraId="6D099AD5" w14:textId="77777777" w:rsidR="003B5E2C" w:rsidRPr="00EC3404" w:rsidRDefault="003B5E2C" w:rsidP="00B324CF">
      <w:pPr>
        <w:pStyle w:val="ListParagraph"/>
        <w:numPr>
          <w:ilvl w:val="0"/>
          <w:numId w:val="9"/>
        </w:numPr>
        <w:spacing w:after="120" w:line="276" w:lineRule="auto"/>
        <w:rPr>
          <w:rFonts w:cstheme="minorHAnsi"/>
          <w:lang w:val="en-GB"/>
        </w:rPr>
      </w:pPr>
      <w:r w:rsidRPr="00EC3404">
        <w:rPr>
          <w:rFonts w:eastAsia="Times New Roman" w:cstheme="minorHAnsi"/>
          <w:lang w:val="en-GB" w:eastAsia="en-GB"/>
        </w:rPr>
        <w:t>Increased enrolment, resourcing, capacity and provision</w:t>
      </w:r>
    </w:p>
    <w:p w14:paraId="2485D51E" w14:textId="1BEDE527" w:rsidR="003B5E2C" w:rsidRPr="00EC3404" w:rsidRDefault="003B5E2C" w:rsidP="00B324CF">
      <w:pPr>
        <w:pStyle w:val="ListParagraph"/>
        <w:numPr>
          <w:ilvl w:val="0"/>
          <w:numId w:val="9"/>
        </w:numPr>
        <w:spacing w:after="120" w:line="276" w:lineRule="auto"/>
        <w:rPr>
          <w:rFonts w:cstheme="minorHAnsi"/>
          <w:lang w:val="en-GB"/>
        </w:rPr>
      </w:pPr>
      <w:r w:rsidRPr="00EC3404">
        <w:rPr>
          <w:rFonts w:eastAsia="Times New Roman" w:cstheme="minorHAnsi"/>
          <w:lang w:val="en-GB" w:eastAsia="en-GB"/>
        </w:rPr>
        <w:t xml:space="preserve">Linking to key priority sectors and </w:t>
      </w:r>
      <w:r w:rsidR="00D0596B" w:rsidRPr="00EC3404">
        <w:rPr>
          <w:rFonts w:eastAsia="Times New Roman" w:cstheme="minorHAnsi"/>
          <w:lang w:val="en-GB" w:eastAsia="en-GB"/>
        </w:rPr>
        <w:t xml:space="preserve">enhanced pathways to </w:t>
      </w:r>
      <w:r w:rsidRPr="00EC3404">
        <w:rPr>
          <w:rFonts w:eastAsia="Times New Roman" w:cstheme="minorHAnsi"/>
          <w:lang w:val="en-GB" w:eastAsia="en-GB"/>
        </w:rPr>
        <w:t xml:space="preserve">general education </w:t>
      </w:r>
    </w:p>
    <w:p w14:paraId="3D4D9D91" w14:textId="77777777" w:rsidR="003B5E2C" w:rsidRPr="00EC3404" w:rsidRDefault="003B5E2C" w:rsidP="00B324CF">
      <w:pPr>
        <w:pStyle w:val="ListParagraph"/>
        <w:numPr>
          <w:ilvl w:val="0"/>
          <w:numId w:val="9"/>
        </w:numPr>
        <w:spacing w:after="120" w:line="276" w:lineRule="auto"/>
        <w:rPr>
          <w:rFonts w:cstheme="minorHAnsi"/>
          <w:lang w:val="en-GB"/>
        </w:rPr>
      </w:pPr>
      <w:r w:rsidRPr="00EC3404">
        <w:rPr>
          <w:rFonts w:eastAsia="Times New Roman" w:cstheme="minorHAnsi"/>
          <w:lang w:val="en-GB" w:eastAsia="en-GB"/>
        </w:rPr>
        <w:t xml:space="preserve">Enhanced sector leadership, management and quality </w:t>
      </w:r>
    </w:p>
    <w:p w14:paraId="65A289F5" w14:textId="3E29D4F3" w:rsidR="003B5E2C" w:rsidRPr="00EC3404" w:rsidRDefault="003B5E2C" w:rsidP="00B324CF">
      <w:pPr>
        <w:pStyle w:val="ListParagraph"/>
        <w:numPr>
          <w:ilvl w:val="0"/>
          <w:numId w:val="9"/>
        </w:numPr>
        <w:spacing w:after="120" w:line="276" w:lineRule="auto"/>
        <w:rPr>
          <w:rFonts w:cstheme="minorHAnsi"/>
          <w:lang w:val="en-GB"/>
        </w:rPr>
      </w:pPr>
      <w:r w:rsidRPr="00EC3404">
        <w:rPr>
          <w:rFonts w:eastAsia="Times New Roman" w:cstheme="minorHAnsi"/>
          <w:lang w:val="en-GB" w:eastAsia="en-GB"/>
        </w:rPr>
        <w:t xml:space="preserve">Increase </w:t>
      </w:r>
      <w:r w:rsidR="00D0596B" w:rsidRPr="00EC3404">
        <w:rPr>
          <w:rFonts w:eastAsia="Times New Roman" w:cstheme="minorHAnsi"/>
          <w:lang w:val="en-GB" w:eastAsia="en-GB"/>
        </w:rPr>
        <w:t xml:space="preserve">private sector </w:t>
      </w:r>
      <w:r w:rsidRPr="00EC3404">
        <w:rPr>
          <w:rFonts w:eastAsia="Times New Roman" w:cstheme="minorHAnsi"/>
          <w:lang w:val="en-GB" w:eastAsia="en-GB"/>
        </w:rPr>
        <w:t xml:space="preserve">engagement in the TVET system </w:t>
      </w:r>
      <w:r w:rsidR="00D0596B" w:rsidRPr="00EC3404">
        <w:rPr>
          <w:rFonts w:eastAsia="Times New Roman" w:cstheme="minorHAnsi"/>
          <w:lang w:val="en-GB" w:eastAsia="en-GB"/>
        </w:rPr>
        <w:t>to promote relevance and credibility</w:t>
      </w:r>
    </w:p>
    <w:p w14:paraId="27936461" w14:textId="77777777" w:rsidR="003B5E2C" w:rsidRPr="00EC3404" w:rsidRDefault="003B5E2C" w:rsidP="00B324CF">
      <w:pPr>
        <w:pStyle w:val="ListParagraph"/>
        <w:numPr>
          <w:ilvl w:val="0"/>
          <w:numId w:val="9"/>
        </w:numPr>
        <w:spacing w:after="120" w:line="276" w:lineRule="auto"/>
        <w:rPr>
          <w:rFonts w:cstheme="minorHAnsi"/>
          <w:lang w:val="en-GB"/>
        </w:rPr>
      </w:pPr>
      <w:r w:rsidRPr="00EC3404">
        <w:rPr>
          <w:rFonts w:eastAsia="Times New Roman" w:cstheme="minorHAnsi"/>
          <w:lang w:val="en-GB" w:eastAsia="en-GB"/>
        </w:rPr>
        <w:t xml:space="preserve">Improved financing, including linking funding to performance and outcomes </w:t>
      </w:r>
    </w:p>
    <w:p w14:paraId="5C7EB80D" w14:textId="77777777" w:rsidR="003B5E2C" w:rsidRPr="00EC3404" w:rsidRDefault="003B5E2C" w:rsidP="00B324CF">
      <w:pPr>
        <w:pStyle w:val="ListParagraph"/>
        <w:numPr>
          <w:ilvl w:val="0"/>
          <w:numId w:val="9"/>
        </w:numPr>
        <w:spacing w:after="120" w:line="276" w:lineRule="auto"/>
        <w:rPr>
          <w:rFonts w:cstheme="minorHAnsi"/>
          <w:lang w:val="en-GB"/>
        </w:rPr>
      </w:pPr>
      <w:r w:rsidRPr="00EC3404">
        <w:rPr>
          <w:rFonts w:eastAsia="Times New Roman" w:cstheme="minorHAnsi"/>
          <w:lang w:val="en-GB" w:eastAsia="en-GB"/>
        </w:rPr>
        <w:t>Introduction of competency-based education and training (CBET)</w:t>
      </w:r>
    </w:p>
    <w:p w14:paraId="609EE8D4" w14:textId="37A63DBA" w:rsidR="0093424F" w:rsidRPr="00EC3404" w:rsidRDefault="00D0596B" w:rsidP="00B324CF">
      <w:pPr>
        <w:spacing w:after="120" w:line="276" w:lineRule="auto"/>
        <w:rPr>
          <w:rFonts w:asciiTheme="minorHAnsi" w:hAnsiTheme="minorHAnsi" w:cstheme="minorHAnsi"/>
          <w:sz w:val="22"/>
          <w:szCs w:val="22"/>
        </w:rPr>
      </w:pPr>
      <w:r w:rsidRPr="00EC3404">
        <w:rPr>
          <w:rFonts w:asciiTheme="minorHAnsi" w:hAnsiTheme="minorHAnsi" w:cstheme="minorHAnsi"/>
          <w:sz w:val="22"/>
          <w:szCs w:val="22"/>
        </w:rPr>
        <w:t xml:space="preserve">The </w:t>
      </w:r>
      <w:r w:rsidR="00667C11" w:rsidRPr="00EC3404">
        <w:rPr>
          <w:rFonts w:asciiTheme="minorHAnsi" w:hAnsiTheme="minorHAnsi" w:cstheme="minorHAnsi"/>
          <w:sz w:val="22"/>
          <w:szCs w:val="22"/>
        </w:rPr>
        <w:t xml:space="preserve">Government of </w:t>
      </w:r>
      <w:r w:rsidR="00DA4CC6" w:rsidRPr="00EC3404">
        <w:rPr>
          <w:rFonts w:asciiTheme="minorHAnsi" w:hAnsiTheme="minorHAnsi" w:cstheme="minorHAnsi"/>
          <w:sz w:val="22"/>
          <w:szCs w:val="22"/>
        </w:rPr>
        <w:t>Namibia</w:t>
      </w:r>
      <w:r w:rsidR="00667C11" w:rsidRPr="00EC3404">
        <w:rPr>
          <w:rFonts w:asciiTheme="minorHAnsi" w:hAnsiTheme="minorHAnsi" w:cstheme="minorHAnsi"/>
          <w:sz w:val="22"/>
          <w:szCs w:val="22"/>
        </w:rPr>
        <w:t xml:space="preserve"> (GoN), through the Ministry of Higher Education, Technology and Innovation (MHETI), </w:t>
      </w:r>
      <w:r w:rsidR="00DA4CC6" w:rsidRPr="00EC3404">
        <w:rPr>
          <w:rFonts w:asciiTheme="minorHAnsi" w:hAnsiTheme="minorHAnsi" w:cstheme="minorHAnsi"/>
          <w:sz w:val="22"/>
          <w:szCs w:val="22"/>
        </w:rPr>
        <w:t>is</w:t>
      </w:r>
      <w:r w:rsidR="0093424F" w:rsidRPr="00EC3404">
        <w:rPr>
          <w:rFonts w:asciiTheme="minorHAnsi" w:hAnsiTheme="minorHAnsi" w:cstheme="minorHAnsi"/>
          <w:sz w:val="22"/>
          <w:szCs w:val="22"/>
        </w:rPr>
        <w:t xml:space="preserve"> committed to</w:t>
      </w:r>
      <w:r w:rsidR="00DA4CC6" w:rsidRPr="00EC3404">
        <w:rPr>
          <w:rFonts w:asciiTheme="minorHAnsi" w:hAnsiTheme="minorHAnsi" w:cstheme="minorHAnsi"/>
          <w:sz w:val="22"/>
          <w:szCs w:val="22"/>
        </w:rPr>
        <w:t xml:space="preserve"> </w:t>
      </w:r>
      <w:r w:rsidR="00B2488D" w:rsidRPr="00EC3404">
        <w:rPr>
          <w:rFonts w:asciiTheme="minorHAnsi" w:hAnsiTheme="minorHAnsi" w:cstheme="minorHAnsi"/>
          <w:sz w:val="22"/>
          <w:szCs w:val="22"/>
        </w:rPr>
        <w:t xml:space="preserve">enhancing </w:t>
      </w:r>
      <w:r w:rsidR="003B5E2C" w:rsidRPr="00EC3404">
        <w:rPr>
          <w:rFonts w:asciiTheme="minorHAnsi" w:hAnsiTheme="minorHAnsi" w:cstheme="minorHAnsi"/>
          <w:sz w:val="22"/>
          <w:szCs w:val="22"/>
        </w:rPr>
        <w:t xml:space="preserve">TVET </w:t>
      </w:r>
      <w:r w:rsidR="00DA4CC6" w:rsidRPr="00EC3404">
        <w:rPr>
          <w:rFonts w:asciiTheme="minorHAnsi" w:hAnsiTheme="minorHAnsi" w:cstheme="minorHAnsi"/>
          <w:sz w:val="22"/>
          <w:szCs w:val="22"/>
        </w:rPr>
        <w:t>quality</w:t>
      </w:r>
      <w:r w:rsidR="00667C11" w:rsidRPr="00EC3404">
        <w:rPr>
          <w:rFonts w:asciiTheme="minorHAnsi" w:hAnsiTheme="minorHAnsi" w:cstheme="minorHAnsi"/>
          <w:sz w:val="22"/>
          <w:szCs w:val="22"/>
        </w:rPr>
        <w:t xml:space="preserve"> and relevance</w:t>
      </w:r>
      <w:r w:rsidR="00DA4CC6" w:rsidRPr="00EC3404">
        <w:rPr>
          <w:rFonts w:asciiTheme="minorHAnsi" w:hAnsiTheme="minorHAnsi" w:cstheme="minorHAnsi"/>
          <w:sz w:val="22"/>
          <w:szCs w:val="22"/>
        </w:rPr>
        <w:t xml:space="preserve"> </w:t>
      </w:r>
      <w:r w:rsidR="003B5E2C" w:rsidRPr="00EC3404">
        <w:rPr>
          <w:rFonts w:asciiTheme="minorHAnsi" w:hAnsiTheme="minorHAnsi" w:cstheme="minorHAnsi"/>
          <w:sz w:val="22"/>
          <w:szCs w:val="22"/>
        </w:rPr>
        <w:t xml:space="preserve">through </w:t>
      </w:r>
      <w:r w:rsidR="009B59CD" w:rsidRPr="00EC3404">
        <w:rPr>
          <w:rFonts w:asciiTheme="minorHAnsi" w:hAnsiTheme="minorHAnsi" w:cstheme="minorHAnsi"/>
          <w:sz w:val="22"/>
          <w:szCs w:val="22"/>
        </w:rPr>
        <w:t>the introduction of more effective models of Work Integrated Learning (WIL)</w:t>
      </w:r>
      <w:r w:rsidR="00591549" w:rsidRPr="00EC3404">
        <w:rPr>
          <w:rFonts w:asciiTheme="minorHAnsi" w:hAnsiTheme="minorHAnsi" w:cstheme="minorHAnsi"/>
          <w:sz w:val="22"/>
          <w:szCs w:val="22"/>
        </w:rPr>
        <w:t xml:space="preserve">, which </w:t>
      </w:r>
      <w:r w:rsidR="00B70292" w:rsidRPr="00EC3404">
        <w:rPr>
          <w:rFonts w:asciiTheme="minorHAnsi" w:hAnsiTheme="minorHAnsi" w:cstheme="minorHAnsi"/>
          <w:sz w:val="22"/>
          <w:szCs w:val="22"/>
        </w:rPr>
        <w:t>is equitable</w:t>
      </w:r>
      <w:r w:rsidR="0093424F" w:rsidRPr="00EC3404">
        <w:rPr>
          <w:rFonts w:asciiTheme="minorHAnsi" w:hAnsiTheme="minorHAnsi" w:cstheme="minorHAnsi"/>
          <w:sz w:val="22"/>
          <w:szCs w:val="22"/>
        </w:rPr>
        <w:t xml:space="preserve"> in definition</w:t>
      </w:r>
      <w:r w:rsidR="00B70292" w:rsidRPr="00EC3404">
        <w:rPr>
          <w:rFonts w:asciiTheme="minorHAnsi" w:hAnsiTheme="minorHAnsi" w:cstheme="minorHAnsi"/>
          <w:sz w:val="22"/>
          <w:szCs w:val="22"/>
        </w:rPr>
        <w:t xml:space="preserve"> to </w:t>
      </w:r>
      <w:r w:rsidR="00591549" w:rsidRPr="00EC3404">
        <w:rPr>
          <w:rFonts w:asciiTheme="minorHAnsi" w:hAnsiTheme="minorHAnsi" w:cstheme="minorHAnsi"/>
          <w:sz w:val="22"/>
          <w:szCs w:val="22"/>
        </w:rPr>
        <w:t>work-based learning</w:t>
      </w:r>
      <w:r w:rsidR="003B5E2C" w:rsidRPr="00EC3404">
        <w:rPr>
          <w:rFonts w:asciiTheme="minorHAnsi" w:hAnsiTheme="minorHAnsi" w:cstheme="minorHAnsi"/>
          <w:sz w:val="22"/>
          <w:szCs w:val="22"/>
        </w:rPr>
        <w:t>.</w:t>
      </w:r>
      <w:r w:rsidR="009B59CD" w:rsidRPr="00EC3404">
        <w:rPr>
          <w:rFonts w:asciiTheme="minorHAnsi" w:hAnsiTheme="minorHAnsi" w:cstheme="minorHAnsi"/>
          <w:sz w:val="22"/>
          <w:szCs w:val="22"/>
        </w:rPr>
        <w:t xml:space="preserve"> </w:t>
      </w:r>
      <w:r w:rsidR="0093424F" w:rsidRPr="00EC3404">
        <w:rPr>
          <w:rFonts w:asciiTheme="minorHAnsi" w:hAnsiTheme="minorHAnsi" w:cstheme="minorHAnsi"/>
          <w:sz w:val="22"/>
          <w:szCs w:val="22"/>
        </w:rPr>
        <w:t xml:space="preserve"> </w:t>
      </w:r>
    </w:p>
    <w:p w14:paraId="08FF6B6E" w14:textId="254B29AC" w:rsidR="00ED2152" w:rsidRPr="00EC3404" w:rsidRDefault="0097082D" w:rsidP="00B324CF">
      <w:pPr>
        <w:spacing w:after="120" w:line="276" w:lineRule="auto"/>
        <w:rPr>
          <w:rFonts w:asciiTheme="minorHAnsi" w:hAnsiTheme="minorHAnsi" w:cstheme="minorHAnsi"/>
          <w:sz w:val="22"/>
          <w:szCs w:val="22"/>
        </w:rPr>
      </w:pPr>
      <w:r w:rsidRPr="00EC3404">
        <w:rPr>
          <w:rFonts w:asciiTheme="minorHAnsi" w:hAnsiTheme="minorHAnsi" w:cstheme="minorHAnsi"/>
          <w:sz w:val="22"/>
          <w:szCs w:val="22"/>
        </w:rPr>
        <w:lastRenderedPageBreak/>
        <w:t>Th</w:t>
      </w:r>
      <w:r w:rsidR="00B2488D" w:rsidRPr="00EC3404">
        <w:rPr>
          <w:rFonts w:asciiTheme="minorHAnsi" w:hAnsiTheme="minorHAnsi" w:cstheme="minorHAnsi"/>
          <w:sz w:val="22"/>
          <w:szCs w:val="22"/>
        </w:rPr>
        <w:t xml:space="preserve">is </w:t>
      </w:r>
      <w:r w:rsidRPr="00EC3404">
        <w:rPr>
          <w:rFonts w:asciiTheme="minorHAnsi" w:hAnsiTheme="minorHAnsi" w:cstheme="minorHAnsi"/>
          <w:sz w:val="22"/>
          <w:szCs w:val="22"/>
        </w:rPr>
        <w:t>include</w:t>
      </w:r>
      <w:r w:rsidR="00B2488D" w:rsidRPr="00EC3404">
        <w:rPr>
          <w:rFonts w:asciiTheme="minorHAnsi" w:hAnsiTheme="minorHAnsi" w:cstheme="minorHAnsi"/>
          <w:sz w:val="22"/>
          <w:szCs w:val="22"/>
        </w:rPr>
        <w:t>s</w:t>
      </w:r>
      <w:r w:rsidRPr="00EC3404">
        <w:rPr>
          <w:rFonts w:asciiTheme="minorHAnsi" w:hAnsiTheme="minorHAnsi" w:cstheme="minorHAnsi"/>
          <w:sz w:val="22"/>
          <w:szCs w:val="22"/>
        </w:rPr>
        <w:t xml:space="preserve"> the National TVET Policy, MHETI</w:t>
      </w:r>
      <w:r w:rsidR="009B59CD" w:rsidRPr="00EC3404">
        <w:rPr>
          <w:rFonts w:asciiTheme="minorHAnsi" w:hAnsiTheme="minorHAnsi" w:cstheme="minorHAnsi"/>
          <w:sz w:val="22"/>
          <w:szCs w:val="22"/>
        </w:rPr>
        <w:t xml:space="preserve"> (</w:t>
      </w:r>
      <w:r w:rsidRPr="00EC3404">
        <w:rPr>
          <w:rFonts w:asciiTheme="minorHAnsi" w:hAnsiTheme="minorHAnsi" w:cstheme="minorHAnsi"/>
          <w:sz w:val="22"/>
          <w:szCs w:val="22"/>
        </w:rPr>
        <w:t>2021</w:t>
      </w:r>
      <w:r w:rsidR="009B59CD" w:rsidRPr="00EC3404">
        <w:rPr>
          <w:rFonts w:asciiTheme="minorHAnsi" w:hAnsiTheme="minorHAnsi" w:cstheme="minorHAnsi"/>
          <w:sz w:val="22"/>
          <w:szCs w:val="22"/>
        </w:rPr>
        <w:t>)</w:t>
      </w:r>
      <w:r w:rsidRPr="00EC3404">
        <w:rPr>
          <w:rFonts w:asciiTheme="minorHAnsi" w:hAnsiTheme="minorHAnsi" w:cstheme="minorHAnsi"/>
          <w:sz w:val="22"/>
          <w:szCs w:val="22"/>
        </w:rPr>
        <w:t xml:space="preserve">, </w:t>
      </w:r>
      <w:r w:rsidR="00D0596B" w:rsidRPr="00EC3404">
        <w:rPr>
          <w:rFonts w:asciiTheme="minorHAnsi" w:hAnsiTheme="minorHAnsi" w:cstheme="minorHAnsi"/>
          <w:sz w:val="22"/>
          <w:szCs w:val="22"/>
        </w:rPr>
        <w:t xml:space="preserve">with the objective </w:t>
      </w:r>
      <w:r w:rsidRPr="00EC3404">
        <w:rPr>
          <w:rFonts w:asciiTheme="minorHAnsi" w:hAnsiTheme="minorHAnsi" w:cstheme="minorHAnsi"/>
          <w:sz w:val="22"/>
          <w:szCs w:val="22"/>
        </w:rPr>
        <w:t>to establish a sector defined by</w:t>
      </w:r>
      <w:r w:rsidR="00D0596B" w:rsidRPr="00EC3404">
        <w:rPr>
          <w:rFonts w:asciiTheme="minorHAnsi" w:hAnsiTheme="minorHAnsi" w:cstheme="minorHAnsi"/>
          <w:sz w:val="22"/>
          <w:szCs w:val="22"/>
        </w:rPr>
        <w:t>;</w:t>
      </w:r>
      <w:r w:rsidRPr="00EC3404">
        <w:rPr>
          <w:rFonts w:asciiTheme="minorHAnsi" w:hAnsiTheme="minorHAnsi" w:cstheme="minorHAnsi"/>
          <w:sz w:val="22"/>
          <w:szCs w:val="22"/>
        </w:rPr>
        <w:t xml:space="preserve"> increased private sector engagement, improved administration, performance linked </w:t>
      </w:r>
      <w:r w:rsidR="00F7264C" w:rsidRPr="00EC3404">
        <w:rPr>
          <w:rFonts w:asciiTheme="minorHAnsi" w:hAnsiTheme="minorHAnsi" w:cstheme="minorHAnsi"/>
          <w:sz w:val="22"/>
          <w:szCs w:val="22"/>
        </w:rPr>
        <w:t>funding, access</w:t>
      </w:r>
      <w:r w:rsidR="009B59CD" w:rsidRPr="00EC3404">
        <w:rPr>
          <w:rFonts w:asciiTheme="minorHAnsi" w:hAnsiTheme="minorHAnsi" w:cstheme="minorHAnsi"/>
          <w:sz w:val="22"/>
          <w:szCs w:val="22"/>
        </w:rPr>
        <w:t xml:space="preserve"> and inclusion</w:t>
      </w:r>
      <w:r w:rsidR="00F7264C" w:rsidRPr="00EC3404">
        <w:rPr>
          <w:rFonts w:asciiTheme="minorHAnsi" w:hAnsiTheme="minorHAnsi" w:cstheme="minorHAnsi"/>
          <w:sz w:val="22"/>
          <w:szCs w:val="22"/>
        </w:rPr>
        <w:t xml:space="preserve">, </w:t>
      </w:r>
      <w:r w:rsidR="009B59CD" w:rsidRPr="00EC3404">
        <w:rPr>
          <w:rFonts w:asciiTheme="minorHAnsi" w:hAnsiTheme="minorHAnsi" w:cstheme="minorHAnsi"/>
          <w:sz w:val="22"/>
          <w:szCs w:val="22"/>
        </w:rPr>
        <w:t xml:space="preserve">utilisation of </w:t>
      </w:r>
      <w:r w:rsidR="00F7264C" w:rsidRPr="00EC3404">
        <w:rPr>
          <w:rFonts w:asciiTheme="minorHAnsi" w:hAnsiTheme="minorHAnsi" w:cstheme="minorHAnsi"/>
          <w:sz w:val="22"/>
          <w:szCs w:val="22"/>
        </w:rPr>
        <w:t xml:space="preserve">RPL models and enhanced linkages between TVET and </w:t>
      </w:r>
      <w:r w:rsidR="009B59CD" w:rsidRPr="00EC3404">
        <w:rPr>
          <w:rFonts w:asciiTheme="minorHAnsi" w:hAnsiTheme="minorHAnsi" w:cstheme="minorHAnsi"/>
          <w:sz w:val="22"/>
          <w:szCs w:val="22"/>
        </w:rPr>
        <w:t xml:space="preserve">the </w:t>
      </w:r>
      <w:r w:rsidR="00F7264C" w:rsidRPr="00EC3404">
        <w:rPr>
          <w:rFonts w:asciiTheme="minorHAnsi" w:hAnsiTheme="minorHAnsi" w:cstheme="minorHAnsi"/>
          <w:sz w:val="22"/>
          <w:szCs w:val="22"/>
        </w:rPr>
        <w:t>wider education sector</w:t>
      </w:r>
      <w:r w:rsidR="005D22E8" w:rsidRPr="00EC3404">
        <w:rPr>
          <w:rStyle w:val="FootnoteReference"/>
          <w:rFonts w:asciiTheme="minorHAnsi" w:hAnsiTheme="minorHAnsi" w:cstheme="minorHAnsi"/>
          <w:sz w:val="22"/>
          <w:szCs w:val="22"/>
        </w:rPr>
        <w:footnoteReference w:id="6"/>
      </w:r>
      <w:r w:rsidR="00F7264C" w:rsidRPr="00EC3404">
        <w:rPr>
          <w:rFonts w:asciiTheme="minorHAnsi" w:hAnsiTheme="minorHAnsi" w:cstheme="minorHAnsi"/>
          <w:sz w:val="22"/>
          <w:szCs w:val="22"/>
        </w:rPr>
        <w:t xml:space="preserve">. </w:t>
      </w:r>
      <w:r w:rsidR="00ED2152" w:rsidRPr="00EC3404">
        <w:rPr>
          <w:rFonts w:asciiTheme="minorHAnsi" w:hAnsiTheme="minorHAnsi" w:cstheme="minorHAnsi"/>
          <w:sz w:val="22"/>
          <w:szCs w:val="22"/>
        </w:rPr>
        <w:t>Namibia’s</w:t>
      </w:r>
      <w:r w:rsidR="005D22E8" w:rsidRPr="00EC3404">
        <w:rPr>
          <w:rFonts w:asciiTheme="minorHAnsi" w:hAnsiTheme="minorHAnsi" w:cstheme="minorHAnsi"/>
          <w:sz w:val="22"/>
          <w:szCs w:val="22"/>
        </w:rPr>
        <w:t xml:space="preserve"> strategic vision</w:t>
      </w:r>
      <w:r w:rsidR="00ED2152" w:rsidRPr="00EC3404">
        <w:rPr>
          <w:rFonts w:asciiTheme="minorHAnsi" w:hAnsiTheme="minorHAnsi" w:cstheme="minorHAnsi"/>
          <w:sz w:val="22"/>
          <w:szCs w:val="22"/>
        </w:rPr>
        <w:t xml:space="preserve"> for WIL</w:t>
      </w:r>
      <w:r w:rsidR="005D22E8" w:rsidRPr="00EC3404">
        <w:rPr>
          <w:rFonts w:asciiTheme="minorHAnsi" w:hAnsiTheme="minorHAnsi" w:cstheme="minorHAnsi"/>
          <w:sz w:val="22"/>
          <w:szCs w:val="22"/>
        </w:rPr>
        <w:t xml:space="preserve"> is now been translated into reality through the </w:t>
      </w:r>
      <w:r w:rsidR="009B59CD" w:rsidRPr="00EC3404">
        <w:rPr>
          <w:rFonts w:asciiTheme="minorHAnsi" w:hAnsiTheme="minorHAnsi" w:cstheme="minorHAnsi"/>
          <w:sz w:val="22"/>
          <w:szCs w:val="22"/>
        </w:rPr>
        <w:t>design</w:t>
      </w:r>
      <w:r w:rsidR="005D22E8" w:rsidRPr="00EC3404">
        <w:rPr>
          <w:rFonts w:asciiTheme="minorHAnsi" w:hAnsiTheme="minorHAnsi" w:cstheme="minorHAnsi"/>
          <w:sz w:val="22"/>
          <w:szCs w:val="22"/>
        </w:rPr>
        <w:t xml:space="preserve"> of Namibia’s Work Integrated Learning Policy</w:t>
      </w:r>
      <w:r w:rsidR="005D22E8" w:rsidRPr="00EC3404">
        <w:rPr>
          <w:rStyle w:val="FootnoteReference"/>
          <w:rFonts w:asciiTheme="minorHAnsi" w:hAnsiTheme="minorHAnsi" w:cstheme="minorHAnsi"/>
          <w:sz w:val="22"/>
          <w:szCs w:val="22"/>
        </w:rPr>
        <w:footnoteReference w:id="7"/>
      </w:r>
      <w:r w:rsidR="00ED2152" w:rsidRPr="00EC3404">
        <w:rPr>
          <w:rFonts w:asciiTheme="minorHAnsi" w:hAnsiTheme="minorHAnsi" w:cstheme="minorHAnsi"/>
          <w:sz w:val="22"/>
          <w:szCs w:val="22"/>
        </w:rPr>
        <w:t>,</w:t>
      </w:r>
      <w:r w:rsidR="009B59CD" w:rsidRPr="00EC3404">
        <w:rPr>
          <w:rFonts w:asciiTheme="minorHAnsi" w:hAnsiTheme="minorHAnsi" w:cstheme="minorHAnsi"/>
          <w:sz w:val="22"/>
          <w:szCs w:val="22"/>
        </w:rPr>
        <w:t xml:space="preserve"> which is</w:t>
      </w:r>
      <w:r w:rsidR="00ED2152" w:rsidRPr="00EC3404">
        <w:rPr>
          <w:rFonts w:asciiTheme="minorHAnsi" w:hAnsiTheme="minorHAnsi" w:cstheme="minorHAnsi"/>
          <w:sz w:val="22"/>
          <w:szCs w:val="22"/>
        </w:rPr>
        <w:t xml:space="preserve"> being de</w:t>
      </w:r>
      <w:r w:rsidR="009B59CD" w:rsidRPr="00EC3404">
        <w:rPr>
          <w:rFonts w:asciiTheme="minorHAnsi" w:hAnsiTheme="minorHAnsi" w:cstheme="minorHAnsi"/>
          <w:sz w:val="22"/>
          <w:szCs w:val="22"/>
        </w:rPr>
        <w:t xml:space="preserve">veloped </w:t>
      </w:r>
      <w:r w:rsidR="00D0596B" w:rsidRPr="00EC3404">
        <w:rPr>
          <w:rFonts w:asciiTheme="minorHAnsi" w:hAnsiTheme="minorHAnsi" w:cstheme="minorHAnsi"/>
          <w:sz w:val="22"/>
          <w:szCs w:val="22"/>
        </w:rPr>
        <w:t>under the leadership of the</w:t>
      </w:r>
      <w:r w:rsidR="00ED2152" w:rsidRPr="00EC3404">
        <w:rPr>
          <w:rFonts w:asciiTheme="minorHAnsi" w:hAnsiTheme="minorHAnsi" w:cstheme="minorHAnsi"/>
          <w:sz w:val="22"/>
          <w:szCs w:val="22"/>
        </w:rPr>
        <w:t xml:space="preserve"> Namibian Training Authority (NTA)</w:t>
      </w:r>
      <w:r w:rsidR="00F44063" w:rsidRPr="00EC3404">
        <w:rPr>
          <w:rStyle w:val="FootnoteReference"/>
          <w:rFonts w:asciiTheme="minorHAnsi" w:hAnsiTheme="minorHAnsi" w:cstheme="minorHAnsi"/>
          <w:sz w:val="22"/>
          <w:szCs w:val="22"/>
        </w:rPr>
        <w:footnoteReference w:id="8"/>
      </w:r>
      <w:r w:rsidR="00ED2152" w:rsidRPr="00EC3404">
        <w:rPr>
          <w:rFonts w:asciiTheme="minorHAnsi" w:hAnsiTheme="minorHAnsi" w:cstheme="minorHAnsi"/>
          <w:sz w:val="22"/>
          <w:szCs w:val="22"/>
        </w:rPr>
        <w:t>. This includes th</w:t>
      </w:r>
      <w:r w:rsidR="00D0596B" w:rsidRPr="00EC3404">
        <w:rPr>
          <w:rFonts w:asciiTheme="minorHAnsi" w:hAnsiTheme="minorHAnsi" w:cstheme="minorHAnsi"/>
          <w:sz w:val="22"/>
          <w:szCs w:val="22"/>
        </w:rPr>
        <w:t>e realisation of</w:t>
      </w:r>
      <w:r w:rsidR="00ED2152" w:rsidRPr="00EC3404">
        <w:rPr>
          <w:rFonts w:asciiTheme="minorHAnsi" w:hAnsiTheme="minorHAnsi" w:cstheme="minorHAnsi"/>
          <w:sz w:val="22"/>
          <w:szCs w:val="22"/>
        </w:rPr>
        <w:t xml:space="preserve"> WIL policy objectives linked to</w:t>
      </w:r>
      <w:r w:rsidR="00AB1202" w:rsidRPr="00EC3404">
        <w:rPr>
          <w:rStyle w:val="FootnoteReference"/>
          <w:rFonts w:asciiTheme="minorHAnsi" w:hAnsiTheme="minorHAnsi" w:cstheme="minorHAnsi"/>
          <w:sz w:val="22"/>
          <w:szCs w:val="22"/>
        </w:rPr>
        <w:footnoteReference w:id="9"/>
      </w:r>
      <w:r w:rsidR="00ED2152" w:rsidRPr="00EC3404">
        <w:rPr>
          <w:rFonts w:asciiTheme="minorHAnsi" w:hAnsiTheme="minorHAnsi" w:cstheme="minorHAnsi"/>
          <w:sz w:val="22"/>
          <w:szCs w:val="22"/>
        </w:rPr>
        <w:t>:</w:t>
      </w:r>
    </w:p>
    <w:p w14:paraId="146CFD93" w14:textId="1BE39CAC" w:rsidR="0097082D" w:rsidRPr="00EC3404" w:rsidRDefault="00ED2152" w:rsidP="00B324CF">
      <w:pPr>
        <w:pStyle w:val="ListParagraph"/>
        <w:numPr>
          <w:ilvl w:val="0"/>
          <w:numId w:val="9"/>
        </w:numPr>
        <w:spacing w:after="120" w:line="276" w:lineRule="auto"/>
        <w:rPr>
          <w:rFonts w:cstheme="minorHAnsi"/>
          <w:lang w:val="en-GB"/>
        </w:rPr>
      </w:pPr>
      <w:r w:rsidRPr="00EC3404">
        <w:rPr>
          <w:rFonts w:cstheme="minorHAnsi"/>
          <w:lang w:val="en-GB"/>
        </w:rPr>
        <w:t xml:space="preserve">Establishing a WIL framework for </w:t>
      </w:r>
      <w:r w:rsidR="00FA724B">
        <w:rPr>
          <w:rFonts w:cstheme="minorHAnsi"/>
          <w:lang w:val="en-GB"/>
        </w:rPr>
        <w:t xml:space="preserve">the </w:t>
      </w:r>
      <w:r w:rsidRPr="00EC3404">
        <w:rPr>
          <w:rFonts w:cstheme="minorHAnsi"/>
          <w:lang w:val="en-GB"/>
        </w:rPr>
        <w:t>TVET</w:t>
      </w:r>
      <w:r w:rsidR="00FA724B">
        <w:rPr>
          <w:rFonts w:cstheme="minorHAnsi"/>
          <w:lang w:val="en-GB"/>
        </w:rPr>
        <w:t xml:space="preserve"> system (employers, trainees, providers)</w:t>
      </w:r>
    </w:p>
    <w:p w14:paraId="741FE4F3" w14:textId="00EA5E72" w:rsidR="00ED2152" w:rsidRPr="00EC3404" w:rsidRDefault="00ED2152" w:rsidP="00B324CF">
      <w:pPr>
        <w:pStyle w:val="ListParagraph"/>
        <w:numPr>
          <w:ilvl w:val="0"/>
          <w:numId w:val="9"/>
        </w:numPr>
        <w:spacing w:after="120" w:line="276" w:lineRule="auto"/>
        <w:rPr>
          <w:rFonts w:cstheme="minorHAnsi"/>
          <w:lang w:val="en-GB"/>
        </w:rPr>
      </w:pPr>
      <w:r w:rsidRPr="00EC3404">
        <w:rPr>
          <w:rFonts w:cstheme="minorHAnsi"/>
          <w:lang w:val="en-GB"/>
        </w:rPr>
        <w:t xml:space="preserve">Promoting increased </w:t>
      </w:r>
      <w:r w:rsidR="00F15638" w:rsidRPr="00EC3404">
        <w:rPr>
          <w:rFonts w:cstheme="minorHAnsi"/>
          <w:lang w:val="en-GB"/>
        </w:rPr>
        <w:t xml:space="preserve">TVET </w:t>
      </w:r>
      <w:r w:rsidRPr="00EC3404">
        <w:rPr>
          <w:rFonts w:cstheme="minorHAnsi"/>
          <w:lang w:val="en-GB"/>
        </w:rPr>
        <w:t>acces</w:t>
      </w:r>
      <w:r w:rsidR="00AB1202" w:rsidRPr="00EC3404">
        <w:rPr>
          <w:rFonts w:cstheme="minorHAnsi"/>
          <w:lang w:val="en-GB"/>
        </w:rPr>
        <w:t xml:space="preserve">s and </w:t>
      </w:r>
      <w:r w:rsidR="00F15638" w:rsidRPr="00EC3404">
        <w:rPr>
          <w:rFonts w:cstheme="minorHAnsi"/>
          <w:lang w:val="en-GB"/>
        </w:rPr>
        <w:t>inclusion</w:t>
      </w:r>
    </w:p>
    <w:p w14:paraId="5E400704" w14:textId="202244E4" w:rsidR="00AB1202" w:rsidRPr="00EC3404" w:rsidRDefault="00F15638" w:rsidP="00B324CF">
      <w:pPr>
        <w:pStyle w:val="ListParagraph"/>
        <w:numPr>
          <w:ilvl w:val="0"/>
          <w:numId w:val="9"/>
        </w:numPr>
        <w:spacing w:after="120" w:line="276" w:lineRule="auto"/>
        <w:rPr>
          <w:rFonts w:cstheme="minorHAnsi"/>
          <w:lang w:val="en-GB"/>
        </w:rPr>
      </w:pPr>
      <w:r w:rsidRPr="00EC3404">
        <w:rPr>
          <w:rFonts w:cstheme="minorHAnsi"/>
          <w:lang w:val="en-GB"/>
        </w:rPr>
        <w:t xml:space="preserve">Introducing </w:t>
      </w:r>
      <w:r w:rsidR="00AB1202" w:rsidRPr="00EC3404">
        <w:rPr>
          <w:rFonts w:cstheme="minorHAnsi"/>
          <w:lang w:val="en-GB"/>
        </w:rPr>
        <w:t xml:space="preserve">financial incentives for </w:t>
      </w:r>
      <w:r w:rsidRPr="00EC3404">
        <w:rPr>
          <w:rFonts w:cstheme="minorHAnsi"/>
          <w:lang w:val="en-GB"/>
        </w:rPr>
        <w:t xml:space="preserve">employer engagement in </w:t>
      </w:r>
      <w:r w:rsidR="00AB1202" w:rsidRPr="00EC3404">
        <w:rPr>
          <w:rFonts w:cstheme="minorHAnsi"/>
          <w:lang w:val="en-GB"/>
        </w:rPr>
        <w:t>apprenticeships and industrial attachments</w:t>
      </w:r>
    </w:p>
    <w:p w14:paraId="5DB99141" w14:textId="2CDBC862" w:rsidR="00F15638" w:rsidRPr="00EC3404" w:rsidRDefault="00F15638" w:rsidP="00B324CF">
      <w:pPr>
        <w:pStyle w:val="ListParagraph"/>
        <w:numPr>
          <w:ilvl w:val="0"/>
          <w:numId w:val="9"/>
        </w:numPr>
        <w:spacing w:after="120" w:line="276" w:lineRule="auto"/>
        <w:rPr>
          <w:rFonts w:cstheme="minorHAnsi"/>
          <w:lang w:val="en-GB"/>
        </w:rPr>
      </w:pPr>
      <w:r w:rsidRPr="00EC3404">
        <w:rPr>
          <w:rFonts w:cstheme="minorHAnsi"/>
          <w:lang w:val="en-GB"/>
        </w:rPr>
        <w:t xml:space="preserve">Utilising Namibia’s </w:t>
      </w:r>
      <w:r w:rsidR="008836DB">
        <w:rPr>
          <w:rFonts w:cstheme="minorHAnsi"/>
          <w:lang w:val="en-GB"/>
        </w:rPr>
        <w:t xml:space="preserve">vocational education and </w:t>
      </w:r>
      <w:r w:rsidRPr="00EC3404">
        <w:rPr>
          <w:rFonts w:cstheme="minorHAnsi"/>
          <w:lang w:val="en-GB"/>
        </w:rPr>
        <w:t>training</w:t>
      </w:r>
      <w:r w:rsidR="008836DB">
        <w:rPr>
          <w:rFonts w:cstheme="minorHAnsi"/>
          <w:lang w:val="en-GB"/>
        </w:rPr>
        <w:t xml:space="preserve"> (VET)</w:t>
      </w:r>
      <w:r w:rsidRPr="00EC3404">
        <w:rPr>
          <w:rFonts w:cstheme="minorHAnsi"/>
          <w:lang w:val="en-GB"/>
        </w:rPr>
        <w:t xml:space="preserve"> levy to promote quality WIL delivery and models </w:t>
      </w:r>
    </w:p>
    <w:p w14:paraId="407AB53A" w14:textId="6135F1C4" w:rsidR="008F3B66" w:rsidRPr="00EC3404" w:rsidRDefault="00AB1202" w:rsidP="00B324CF">
      <w:pPr>
        <w:pStyle w:val="ListParagraph"/>
        <w:numPr>
          <w:ilvl w:val="0"/>
          <w:numId w:val="9"/>
        </w:numPr>
        <w:spacing w:after="120" w:line="276" w:lineRule="auto"/>
        <w:rPr>
          <w:rFonts w:cstheme="minorHAnsi"/>
          <w:lang w:val="en-GB"/>
        </w:rPr>
      </w:pPr>
      <w:r w:rsidRPr="00EC3404">
        <w:rPr>
          <w:rFonts w:cstheme="minorHAnsi"/>
          <w:lang w:val="en-GB"/>
        </w:rPr>
        <w:t>Increas</w:t>
      </w:r>
      <w:r w:rsidR="009B59CD" w:rsidRPr="00EC3404">
        <w:rPr>
          <w:rFonts w:cstheme="minorHAnsi"/>
          <w:lang w:val="en-GB"/>
        </w:rPr>
        <w:t>ing</w:t>
      </w:r>
      <w:r w:rsidRPr="00EC3404">
        <w:rPr>
          <w:rFonts w:cstheme="minorHAnsi"/>
          <w:lang w:val="en-GB"/>
        </w:rPr>
        <w:t xml:space="preserve"> TVET credibility and relevance </w:t>
      </w:r>
      <w:r w:rsidR="00F15638" w:rsidRPr="00EC3404">
        <w:rPr>
          <w:rFonts w:cstheme="minorHAnsi"/>
          <w:lang w:val="en-GB"/>
        </w:rPr>
        <w:t xml:space="preserve">to </w:t>
      </w:r>
      <w:r w:rsidRPr="00EC3404">
        <w:rPr>
          <w:rFonts w:cstheme="minorHAnsi"/>
          <w:lang w:val="en-GB"/>
        </w:rPr>
        <w:t xml:space="preserve">address skills mismatches and facilitate the transition to employment </w:t>
      </w:r>
    </w:p>
    <w:p w14:paraId="6D88D3C0" w14:textId="6DD6B4BC" w:rsidR="00F15638" w:rsidRPr="00EC3404" w:rsidRDefault="0093424F" w:rsidP="00B324CF">
      <w:pPr>
        <w:spacing w:after="120" w:line="276" w:lineRule="auto"/>
        <w:rPr>
          <w:rFonts w:asciiTheme="minorHAnsi" w:hAnsiTheme="minorHAnsi" w:cstheme="minorHAnsi"/>
          <w:sz w:val="22"/>
          <w:szCs w:val="22"/>
        </w:rPr>
      </w:pPr>
      <w:r w:rsidRPr="00EC3404">
        <w:rPr>
          <w:rFonts w:asciiTheme="minorHAnsi" w:hAnsiTheme="minorHAnsi" w:cstheme="minorHAnsi"/>
          <w:sz w:val="22"/>
          <w:szCs w:val="22"/>
        </w:rPr>
        <w:t xml:space="preserve">To support the realisation of these objectives, </w:t>
      </w:r>
      <w:r w:rsidR="00F15638" w:rsidRPr="00EC3404">
        <w:rPr>
          <w:rFonts w:asciiTheme="minorHAnsi" w:hAnsiTheme="minorHAnsi" w:cstheme="minorHAnsi"/>
          <w:sz w:val="22"/>
          <w:szCs w:val="22"/>
        </w:rPr>
        <w:t>NTA ha</w:t>
      </w:r>
      <w:r w:rsidR="00FA724B">
        <w:rPr>
          <w:rFonts w:asciiTheme="minorHAnsi" w:hAnsiTheme="minorHAnsi" w:cstheme="minorHAnsi"/>
          <w:sz w:val="22"/>
          <w:szCs w:val="22"/>
        </w:rPr>
        <w:t xml:space="preserve">ve developed a series of </w:t>
      </w:r>
      <w:r w:rsidR="00FA724B" w:rsidRPr="00EC3404">
        <w:rPr>
          <w:rFonts w:asciiTheme="minorHAnsi" w:hAnsiTheme="minorHAnsi" w:cstheme="minorHAnsi"/>
          <w:sz w:val="22"/>
          <w:szCs w:val="22"/>
        </w:rPr>
        <w:t>WIL</w:t>
      </w:r>
      <w:r w:rsidR="00F15638" w:rsidRPr="00EC3404">
        <w:rPr>
          <w:rFonts w:asciiTheme="minorHAnsi" w:hAnsiTheme="minorHAnsi" w:cstheme="minorHAnsi"/>
          <w:sz w:val="22"/>
          <w:szCs w:val="22"/>
        </w:rPr>
        <w:t xml:space="preserve"> guidelines and procedures</w:t>
      </w:r>
      <w:r w:rsidRPr="00EC3404">
        <w:rPr>
          <w:rFonts w:asciiTheme="minorHAnsi" w:hAnsiTheme="minorHAnsi" w:cstheme="minorHAnsi"/>
          <w:sz w:val="22"/>
          <w:szCs w:val="22"/>
        </w:rPr>
        <w:t xml:space="preserve">. These guidelines seek to embed models of employer engaged WIL that are </w:t>
      </w:r>
      <w:r w:rsidR="00F15638" w:rsidRPr="00EC3404">
        <w:rPr>
          <w:rFonts w:asciiTheme="minorHAnsi" w:hAnsiTheme="minorHAnsi" w:cstheme="minorHAnsi"/>
          <w:sz w:val="22"/>
          <w:szCs w:val="22"/>
        </w:rPr>
        <w:t xml:space="preserve">funded through </w:t>
      </w:r>
      <w:r w:rsidR="00824C5B">
        <w:rPr>
          <w:rFonts w:asciiTheme="minorHAnsi" w:hAnsiTheme="minorHAnsi" w:cstheme="minorHAnsi"/>
          <w:sz w:val="22"/>
          <w:szCs w:val="22"/>
        </w:rPr>
        <w:t xml:space="preserve">Namibia’s employer </w:t>
      </w:r>
      <w:r w:rsidR="00F15638" w:rsidRPr="00EC3404">
        <w:rPr>
          <w:rFonts w:asciiTheme="minorHAnsi" w:hAnsiTheme="minorHAnsi" w:cstheme="minorHAnsi"/>
          <w:sz w:val="22"/>
          <w:szCs w:val="22"/>
        </w:rPr>
        <w:t>levy</w:t>
      </w:r>
      <w:r w:rsidRPr="00EC3404">
        <w:rPr>
          <w:rFonts w:asciiTheme="minorHAnsi" w:hAnsiTheme="minorHAnsi" w:cstheme="minorHAnsi"/>
          <w:sz w:val="22"/>
          <w:szCs w:val="22"/>
        </w:rPr>
        <w:t xml:space="preserve"> and governed by NTA administered framework.  </w:t>
      </w:r>
    </w:p>
    <w:p w14:paraId="12744B58" w14:textId="764D4773" w:rsidR="005A7ACB" w:rsidRPr="00EC3404" w:rsidRDefault="00CF0B66" w:rsidP="00EC3404">
      <w:pPr>
        <w:pBdr>
          <w:bottom w:val="single" w:sz="4" w:space="1" w:color="auto"/>
        </w:pBdr>
        <w:spacing w:line="276" w:lineRule="auto"/>
        <w:rPr>
          <w:rFonts w:asciiTheme="minorHAnsi" w:hAnsiTheme="minorHAnsi" w:cstheme="minorHAnsi"/>
          <w:b/>
          <w:bCs/>
        </w:rPr>
      </w:pPr>
      <w:r w:rsidRPr="00EC3404">
        <w:rPr>
          <w:rFonts w:asciiTheme="minorHAnsi" w:hAnsiTheme="minorHAnsi" w:cstheme="minorHAnsi"/>
          <w:b/>
          <w:bCs/>
        </w:rPr>
        <w:t xml:space="preserve">The </w:t>
      </w:r>
      <w:r w:rsidR="0093424F" w:rsidRPr="00EC3404">
        <w:rPr>
          <w:rFonts w:asciiTheme="minorHAnsi" w:hAnsiTheme="minorHAnsi" w:cstheme="minorHAnsi"/>
          <w:b/>
          <w:bCs/>
        </w:rPr>
        <w:t>tool</w:t>
      </w:r>
      <w:r w:rsidR="00B324CF" w:rsidRPr="00EC3404">
        <w:rPr>
          <w:rFonts w:asciiTheme="minorHAnsi" w:hAnsiTheme="minorHAnsi" w:cstheme="minorHAnsi"/>
          <w:b/>
          <w:bCs/>
        </w:rPr>
        <w:t>:</w:t>
      </w:r>
      <w:r w:rsidR="00462314" w:rsidRPr="00EC3404">
        <w:rPr>
          <w:rFonts w:asciiTheme="minorHAnsi" w:hAnsiTheme="minorHAnsi" w:cstheme="minorHAnsi"/>
          <w:b/>
          <w:bCs/>
        </w:rPr>
        <w:t xml:space="preserve"> </w:t>
      </w:r>
      <w:r w:rsidR="000A3F44">
        <w:rPr>
          <w:rFonts w:asciiTheme="minorHAnsi" w:hAnsiTheme="minorHAnsi" w:cstheme="minorHAnsi"/>
          <w:b/>
          <w:bCs/>
        </w:rPr>
        <w:t xml:space="preserve">WIL Training Implementation Plan </w:t>
      </w:r>
      <w:r w:rsidR="00777E8F">
        <w:rPr>
          <w:rFonts w:asciiTheme="minorHAnsi" w:hAnsiTheme="minorHAnsi" w:cstheme="minorHAnsi"/>
          <w:b/>
          <w:bCs/>
        </w:rPr>
        <w:t>T</w:t>
      </w:r>
      <w:r w:rsidR="000A3F44">
        <w:rPr>
          <w:rFonts w:asciiTheme="minorHAnsi" w:hAnsiTheme="minorHAnsi" w:cstheme="minorHAnsi"/>
          <w:b/>
          <w:bCs/>
        </w:rPr>
        <w:t>emplate</w:t>
      </w:r>
    </w:p>
    <w:p w14:paraId="4234CA96" w14:textId="77777777" w:rsidR="00B324CF" w:rsidRPr="00EC3404" w:rsidRDefault="00B324CF" w:rsidP="0096194A">
      <w:pPr>
        <w:spacing w:before="120" w:after="120" w:line="276" w:lineRule="auto"/>
        <w:rPr>
          <w:rFonts w:asciiTheme="minorHAnsi" w:hAnsiTheme="minorHAnsi" w:cstheme="minorHAnsi"/>
          <w:b/>
          <w:bCs/>
          <w:sz w:val="22"/>
          <w:szCs w:val="22"/>
        </w:rPr>
      </w:pPr>
      <w:r w:rsidRPr="00EC3404">
        <w:rPr>
          <w:rFonts w:asciiTheme="minorHAnsi" w:hAnsiTheme="minorHAnsi" w:cstheme="minorHAnsi"/>
          <w:b/>
          <w:bCs/>
          <w:sz w:val="22"/>
          <w:szCs w:val="22"/>
        </w:rPr>
        <w:t>Background</w:t>
      </w:r>
    </w:p>
    <w:p w14:paraId="39BFDAA1" w14:textId="0DBB08B5" w:rsidR="000E0E0F" w:rsidRDefault="009C09E1" w:rsidP="00AC1243">
      <w:pPr>
        <w:spacing w:after="120" w:line="276" w:lineRule="auto"/>
        <w:rPr>
          <w:rFonts w:asciiTheme="minorHAnsi" w:hAnsiTheme="minorHAnsi" w:cstheme="minorHAnsi"/>
          <w:sz w:val="22"/>
          <w:szCs w:val="22"/>
        </w:rPr>
      </w:pPr>
      <w:r w:rsidRPr="00EC3404">
        <w:rPr>
          <w:rFonts w:asciiTheme="minorHAnsi" w:hAnsiTheme="minorHAnsi" w:cstheme="minorHAnsi"/>
          <w:sz w:val="22"/>
          <w:szCs w:val="22"/>
        </w:rPr>
        <w:t>T</w:t>
      </w:r>
      <w:r w:rsidR="00D2232D">
        <w:rPr>
          <w:rFonts w:asciiTheme="minorHAnsi" w:hAnsiTheme="minorHAnsi" w:cstheme="minorHAnsi"/>
          <w:sz w:val="22"/>
          <w:szCs w:val="22"/>
        </w:rPr>
        <w:t xml:space="preserve">raining </w:t>
      </w:r>
      <w:r w:rsidR="00941399">
        <w:rPr>
          <w:rFonts w:asciiTheme="minorHAnsi" w:hAnsiTheme="minorHAnsi" w:cstheme="minorHAnsi"/>
          <w:sz w:val="22"/>
          <w:szCs w:val="22"/>
        </w:rPr>
        <w:t>Implementation</w:t>
      </w:r>
      <w:r w:rsidR="00D2232D">
        <w:rPr>
          <w:rFonts w:asciiTheme="minorHAnsi" w:hAnsiTheme="minorHAnsi" w:cstheme="minorHAnsi"/>
          <w:sz w:val="22"/>
          <w:szCs w:val="22"/>
        </w:rPr>
        <w:t xml:space="preserve"> Plans, </w:t>
      </w:r>
      <w:r w:rsidR="000A3F44">
        <w:rPr>
          <w:rFonts w:asciiTheme="minorHAnsi" w:hAnsiTheme="minorHAnsi" w:cstheme="minorHAnsi"/>
          <w:sz w:val="22"/>
          <w:szCs w:val="22"/>
        </w:rPr>
        <w:t xml:space="preserve">presented </w:t>
      </w:r>
      <w:r w:rsidR="00D2232D">
        <w:rPr>
          <w:rFonts w:asciiTheme="minorHAnsi" w:hAnsiTheme="minorHAnsi" w:cstheme="minorHAnsi"/>
          <w:sz w:val="22"/>
          <w:szCs w:val="22"/>
        </w:rPr>
        <w:t xml:space="preserve">in an </w:t>
      </w:r>
      <w:r w:rsidR="000A3F44">
        <w:rPr>
          <w:rFonts w:asciiTheme="minorHAnsi" w:hAnsiTheme="minorHAnsi" w:cstheme="minorHAnsi"/>
          <w:sz w:val="22"/>
          <w:szCs w:val="22"/>
        </w:rPr>
        <w:t xml:space="preserve">annex to </w:t>
      </w:r>
      <w:r w:rsidR="00D2232D">
        <w:rPr>
          <w:rFonts w:asciiTheme="minorHAnsi" w:hAnsiTheme="minorHAnsi" w:cstheme="minorHAnsi"/>
          <w:sz w:val="22"/>
          <w:szCs w:val="22"/>
        </w:rPr>
        <w:t xml:space="preserve">WIL </w:t>
      </w:r>
      <w:r w:rsidR="000A3F44">
        <w:rPr>
          <w:rFonts w:asciiTheme="minorHAnsi" w:hAnsiTheme="minorHAnsi" w:cstheme="minorHAnsi"/>
          <w:sz w:val="22"/>
          <w:szCs w:val="22"/>
        </w:rPr>
        <w:t>funding agreements between NTA</w:t>
      </w:r>
      <w:r w:rsidR="00D2232D">
        <w:rPr>
          <w:rFonts w:asciiTheme="minorHAnsi" w:hAnsiTheme="minorHAnsi" w:cstheme="minorHAnsi"/>
          <w:sz w:val="22"/>
          <w:szCs w:val="22"/>
        </w:rPr>
        <w:t xml:space="preserve">, </w:t>
      </w:r>
      <w:r w:rsidR="000A3F44">
        <w:rPr>
          <w:rFonts w:asciiTheme="minorHAnsi" w:hAnsiTheme="minorHAnsi" w:cstheme="minorHAnsi"/>
          <w:sz w:val="22"/>
          <w:szCs w:val="22"/>
        </w:rPr>
        <w:t>employers</w:t>
      </w:r>
      <w:r w:rsidR="00D2232D">
        <w:rPr>
          <w:rFonts w:asciiTheme="minorHAnsi" w:hAnsiTheme="minorHAnsi" w:cstheme="minorHAnsi"/>
          <w:sz w:val="22"/>
          <w:szCs w:val="22"/>
        </w:rPr>
        <w:t xml:space="preserve"> and TVETPs</w:t>
      </w:r>
      <w:r w:rsidR="000A3F44">
        <w:rPr>
          <w:rFonts w:asciiTheme="minorHAnsi" w:hAnsiTheme="minorHAnsi" w:cstheme="minorHAnsi"/>
          <w:sz w:val="22"/>
          <w:szCs w:val="22"/>
        </w:rPr>
        <w:t xml:space="preserve">, </w:t>
      </w:r>
      <w:r w:rsidR="00EF5FA1" w:rsidRPr="00EC3404">
        <w:rPr>
          <w:rFonts w:asciiTheme="minorHAnsi" w:hAnsiTheme="minorHAnsi" w:cstheme="minorHAnsi"/>
          <w:sz w:val="22"/>
          <w:szCs w:val="22"/>
        </w:rPr>
        <w:t>ha</w:t>
      </w:r>
      <w:r w:rsidR="00D2232D">
        <w:rPr>
          <w:rFonts w:asciiTheme="minorHAnsi" w:hAnsiTheme="minorHAnsi" w:cstheme="minorHAnsi"/>
          <w:sz w:val="22"/>
          <w:szCs w:val="22"/>
        </w:rPr>
        <w:t>ve</w:t>
      </w:r>
      <w:r w:rsidR="00EF5FA1" w:rsidRPr="00EC3404">
        <w:rPr>
          <w:rFonts w:asciiTheme="minorHAnsi" w:hAnsiTheme="minorHAnsi" w:cstheme="minorHAnsi"/>
          <w:sz w:val="22"/>
          <w:szCs w:val="22"/>
        </w:rPr>
        <w:t xml:space="preserve"> been developed by NTA</w:t>
      </w:r>
      <w:r w:rsidR="000A3F44">
        <w:rPr>
          <w:rFonts w:asciiTheme="minorHAnsi" w:hAnsiTheme="minorHAnsi" w:cstheme="minorHAnsi"/>
          <w:sz w:val="22"/>
          <w:szCs w:val="22"/>
        </w:rPr>
        <w:t xml:space="preserve"> to </w:t>
      </w:r>
      <w:r w:rsidR="008836DB">
        <w:rPr>
          <w:rFonts w:asciiTheme="minorHAnsi" w:hAnsiTheme="minorHAnsi" w:cstheme="minorHAnsi"/>
          <w:sz w:val="22"/>
          <w:szCs w:val="22"/>
        </w:rPr>
        <w:t>facilitate</w:t>
      </w:r>
      <w:r w:rsidR="00EF5FA1" w:rsidRPr="00EC3404">
        <w:rPr>
          <w:rFonts w:asciiTheme="minorHAnsi" w:hAnsiTheme="minorHAnsi" w:cstheme="minorHAnsi"/>
          <w:sz w:val="22"/>
          <w:szCs w:val="22"/>
        </w:rPr>
        <w:t xml:space="preserve"> the implementation o</w:t>
      </w:r>
      <w:r w:rsidR="000E0E0F">
        <w:rPr>
          <w:rFonts w:asciiTheme="minorHAnsi" w:hAnsiTheme="minorHAnsi" w:cstheme="minorHAnsi"/>
          <w:sz w:val="22"/>
          <w:szCs w:val="22"/>
        </w:rPr>
        <w:t xml:space="preserve">f WIL </w:t>
      </w:r>
      <w:r w:rsidR="00FD5AA5" w:rsidRPr="00EC3404">
        <w:rPr>
          <w:rFonts w:asciiTheme="minorHAnsi" w:hAnsiTheme="minorHAnsi" w:cstheme="minorHAnsi"/>
          <w:sz w:val="22"/>
          <w:szCs w:val="22"/>
        </w:rPr>
        <w:t>procedures</w:t>
      </w:r>
      <w:r w:rsidRPr="00EC3404">
        <w:rPr>
          <w:rFonts w:asciiTheme="minorHAnsi" w:hAnsiTheme="minorHAnsi" w:cstheme="minorHAnsi"/>
          <w:sz w:val="22"/>
          <w:szCs w:val="22"/>
        </w:rPr>
        <w:t xml:space="preserve"> and </w:t>
      </w:r>
      <w:r w:rsidR="000E0E0F" w:rsidRPr="00EC3404">
        <w:rPr>
          <w:rFonts w:asciiTheme="minorHAnsi" w:hAnsiTheme="minorHAnsi" w:cstheme="minorHAnsi"/>
          <w:sz w:val="22"/>
          <w:szCs w:val="22"/>
        </w:rPr>
        <w:t>guidelines (</w:t>
      </w:r>
      <w:r w:rsidR="00FD5AA5" w:rsidRPr="00EC3404">
        <w:rPr>
          <w:rFonts w:asciiTheme="minorHAnsi" w:hAnsiTheme="minorHAnsi" w:cstheme="minorHAnsi"/>
          <w:sz w:val="22"/>
          <w:szCs w:val="22"/>
        </w:rPr>
        <w:t>these guidelines are described in a separate initiative report developed through this study)</w:t>
      </w:r>
      <w:r w:rsidR="001E7477">
        <w:rPr>
          <w:rFonts w:asciiTheme="minorHAnsi" w:hAnsiTheme="minorHAnsi" w:cstheme="minorHAnsi"/>
          <w:sz w:val="22"/>
          <w:szCs w:val="22"/>
        </w:rPr>
        <w:t xml:space="preserve">. </w:t>
      </w:r>
    </w:p>
    <w:p w14:paraId="27C345E1" w14:textId="77777777" w:rsidR="00777E8F" w:rsidRPr="000E0E0F" w:rsidRDefault="00777E8F" w:rsidP="00777E8F">
      <w:pPr>
        <w:spacing w:after="120" w:line="276" w:lineRule="auto"/>
        <w:rPr>
          <w:rFonts w:asciiTheme="minorHAnsi" w:hAnsiTheme="minorHAnsi" w:cstheme="minorHAnsi"/>
          <w:sz w:val="22"/>
          <w:szCs w:val="22"/>
        </w:rPr>
      </w:pPr>
      <w:r w:rsidRPr="000E0E0F">
        <w:rPr>
          <w:rFonts w:asciiTheme="minorHAnsi" w:hAnsiTheme="minorHAnsi" w:cstheme="minorHAnsi"/>
          <w:sz w:val="22"/>
          <w:szCs w:val="22"/>
        </w:rPr>
        <w:t xml:space="preserve">Training Implementation Plans </w:t>
      </w:r>
      <w:r>
        <w:rPr>
          <w:rFonts w:asciiTheme="minorHAnsi" w:hAnsiTheme="minorHAnsi" w:cstheme="minorHAnsi"/>
          <w:sz w:val="22"/>
          <w:szCs w:val="22"/>
        </w:rPr>
        <w:t xml:space="preserve">support </w:t>
      </w:r>
      <w:r w:rsidRPr="000E0E0F">
        <w:rPr>
          <w:rFonts w:asciiTheme="minorHAnsi" w:hAnsiTheme="minorHAnsi" w:cstheme="minorHAnsi"/>
          <w:sz w:val="22"/>
          <w:szCs w:val="22"/>
        </w:rPr>
        <w:t>employers</w:t>
      </w:r>
      <w:r>
        <w:rPr>
          <w:rFonts w:asciiTheme="minorHAnsi" w:hAnsiTheme="minorHAnsi" w:cstheme="minorHAnsi"/>
          <w:sz w:val="22"/>
          <w:szCs w:val="22"/>
        </w:rPr>
        <w:t>, and their TVETP partners,</w:t>
      </w:r>
      <w:r w:rsidRPr="000E0E0F">
        <w:rPr>
          <w:rFonts w:asciiTheme="minorHAnsi" w:hAnsiTheme="minorHAnsi" w:cstheme="minorHAnsi"/>
          <w:sz w:val="22"/>
          <w:szCs w:val="22"/>
        </w:rPr>
        <w:t xml:space="preserve"> to understand criteria for the development of </w:t>
      </w:r>
      <w:r>
        <w:rPr>
          <w:rFonts w:asciiTheme="minorHAnsi" w:hAnsiTheme="minorHAnsi" w:cstheme="minorHAnsi"/>
          <w:sz w:val="22"/>
          <w:szCs w:val="22"/>
        </w:rPr>
        <w:t xml:space="preserve">quality </w:t>
      </w:r>
      <w:r w:rsidRPr="000E0E0F">
        <w:rPr>
          <w:rFonts w:asciiTheme="minorHAnsi" w:hAnsiTheme="minorHAnsi" w:cstheme="minorHAnsi"/>
          <w:sz w:val="22"/>
          <w:szCs w:val="22"/>
        </w:rPr>
        <w:t>WIL programmes</w:t>
      </w:r>
      <w:r>
        <w:rPr>
          <w:rFonts w:asciiTheme="minorHAnsi" w:hAnsiTheme="minorHAnsi" w:cstheme="minorHAnsi"/>
          <w:sz w:val="22"/>
          <w:szCs w:val="22"/>
        </w:rPr>
        <w:t xml:space="preserve">, through: </w:t>
      </w:r>
    </w:p>
    <w:p w14:paraId="095C9146" w14:textId="77777777" w:rsidR="00777E8F" w:rsidRPr="000E0E0F" w:rsidRDefault="00777E8F" w:rsidP="00777E8F">
      <w:pPr>
        <w:pStyle w:val="ListParagraph"/>
        <w:numPr>
          <w:ilvl w:val="0"/>
          <w:numId w:val="9"/>
        </w:numPr>
        <w:spacing w:after="120" w:line="276" w:lineRule="auto"/>
        <w:rPr>
          <w:rFonts w:cstheme="minorHAnsi"/>
          <w:lang w:val="en-GB"/>
        </w:rPr>
      </w:pPr>
      <w:r>
        <w:rPr>
          <w:rFonts w:cstheme="minorHAnsi"/>
          <w:lang w:val="en-GB"/>
        </w:rPr>
        <w:t xml:space="preserve">Joint sign off </w:t>
      </w:r>
      <w:r w:rsidRPr="000E0E0F">
        <w:rPr>
          <w:rFonts w:cstheme="minorHAnsi"/>
          <w:lang w:val="en-GB"/>
        </w:rPr>
        <w:t>by both employer and training provider (TVETP) representatives, which ensures that WIL programmes are be</w:t>
      </w:r>
      <w:r>
        <w:rPr>
          <w:rFonts w:cstheme="minorHAnsi"/>
          <w:lang w:val="en-GB"/>
        </w:rPr>
        <w:t>en</w:t>
      </w:r>
      <w:r w:rsidRPr="000E0E0F">
        <w:rPr>
          <w:rFonts w:cstheme="minorHAnsi"/>
          <w:lang w:val="en-GB"/>
        </w:rPr>
        <w:t xml:space="preserve"> developed collaboratively as defined in the guidelines. </w:t>
      </w:r>
    </w:p>
    <w:p w14:paraId="3F3DD750" w14:textId="77777777" w:rsidR="00777E8F" w:rsidRPr="000E0E0F" w:rsidRDefault="00777E8F" w:rsidP="00777E8F">
      <w:pPr>
        <w:pStyle w:val="ListParagraph"/>
        <w:numPr>
          <w:ilvl w:val="0"/>
          <w:numId w:val="9"/>
        </w:numPr>
        <w:spacing w:after="120" w:line="276" w:lineRule="auto"/>
        <w:rPr>
          <w:rFonts w:cstheme="minorHAnsi"/>
          <w:lang w:val="en-GB"/>
        </w:rPr>
      </w:pPr>
      <w:r>
        <w:rPr>
          <w:rFonts w:cstheme="minorHAnsi"/>
          <w:lang w:val="en-GB"/>
        </w:rPr>
        <w:t>Approval</w:t>
      </w:r>
      <w:r w:rsidRPr="000E0E0F">
        <w:rPr>
          <w:rFonts w:cstheme="minorHAnsi"/>
          <w:lang w:val="en-GB"/>
        </w:rPr>
        <w:t xml:space="preserve"> by an ‘NTA authorised person’ which means that learner registration and programme design </w:t>
      </w:r>
      <w:r>
        <w:rPr>
          <w:rFonts w:cstheme="minorHAnsi"/>
          <w:lang w:val="en-GB"/>
        </w:rPr>
        <w:t>meets</w:t>
      </w:r>
      <w:r w:rsidRPr="000E0E0F">
        <w:rPr>
          <w:rFonts w:cstheme="minorHAnsi"/>
          <w:lang w:val="en-GB"/>
        </w:rPr>
        <w:t xml:space="preserve"> NTA guidelines. </w:t>
      </w:r>
    </w:p>
    <w:p w14:paraId="4279EA55" w14:textId="77777777" w:rsidR="00777E8F" w:rsidRPr="000E0E0F" w:rsidRDefault="00777E8F" w:rsidP="00777E8F">
      <w:pPr>
        <w:pStyle w:val="ListParagraph"/>
        <w:numPr>
          <w:ilvl w:val="0"/>
          <w:numId w:val="9"/>
        </w:numPr>
        <w:spacing w:after="120" w:line="276" w:lineRule="auto"/>
        <w:rPr>
          <w:rFonts w:cstheme="minorHAnsi"/>
          <w:lang w:val="en-GB"/>
        </w:rPr>
      </w:pPr>
      <w:r>
        <w:rPr>
          <w:rFonts w:cstheme="minorHAnsi"/>
          <w:lang w:val="en-GB"/>
        </w:rPr>
        <w:t>Provides</w:t>
      </w:r>
      <w:r w:rsidRPr="000E0E0F">
        <w:rPr>
          <w:rFonts w:cstheme="minorHAnsi"/>
          <w:lang w:val="en-GB"/>
        </w:rPr>
        <w:t xml:space="preserve"> a guide for employers as they develop apprenticeship training programmes that are aligned with NTA guideline requirements. This includes recording of information linked to:</w:t>
      </w:r>
    </w:p>
    <w:p w14:paraId="5A1FA9A7" w14:textId="77777777" w:rsidR="00777E8F" w:rsidRPr="000E0E0F" w:rsidRDefault="00777E8F" w:rsidP="00777E8F">
      <w:pPr>
        <w:pStyle w:val="ListParagraph"/>
        <w:numPr>
          <w:ilvl w:val="1"/>
          <w:numId w:val="9"/>
        </w:numPr>
        <w:spacing w:after="120" w:line="276" w:lineRule="auto"/>
        <w:rPr>
          <w:rFonts w:cstheme="minorHAnsi"/>
          <w:lang w:val="en-GB"/>
        </w:rPr>
      </w:pPr>
      <w:r w:rsidRPr="000E0E0F">
        <w:rPr>
          <w:rFonts w:cstheme="minorHAnsi"/>
          <w:lang w:val="en-GB"/>
        </w:rPr>
        <w:t xml:space="preserve">Supervisor/apprentice ratios: NTA guidelines specify minimum supervisor/apprenticeship ratios to ensure training safety and quality.  </w:t>
      </w:r>
    </w:p>
    <w:p w14:paraId="0BBC3F4B" w14:textId="77777777" w:rsidR="00777E8F" w:rsidRPr="000E0E0F" w:rsidRDefault="00777E8F" w:rsidP="00777E8F">
      <w:pPr>
        <w:pStyle w:val="ListParagraph"/>
        <w:numPr>
          <w:ilvl w:val="1"/>
          <w:numId w:val="9"/>
        </w:numPr>
        <w:spacing w:after="120" w:line="276" w:lineRule="auto"/>
        <w:rPr>
          <w:rFonts w:cstheme="minorHAnsi"/>
          <w:lang w:val="en-GB"/>
        </w:rPr>
      </w:pPr>
      <w:r w:rsidRPr="000E0E0F">
        <w:rPr>
          <w:rFonts w:cstheme="minorHAnsi"/>
          <w:lang w:val="en-GB"/>
        </w:rPr>
        <w:t>The recording of data related to recruitment, induction and, TVETP and NTA registration dates will help to ensure that employers are meeting key criteria linked to the funding of WIL</w:t>
      </w:r>
      <w:r>
        <w:rPr>
          <w:rFonts w:cstheme="minorHAnsi"/>
          <w:lang w:val="en-GB"/>
        </w:rPr>
        <w:t xml:space="preserve"> </w:t>
      </w:r>
      <w:r w:rsidRPr="000E0E0F">
        <w:rPr>
          <w:rFonts w:cstheme="minorHAnsi"/>
          <w:lang w:val="en-GB"/>
        </w:rPr>
        <w:t>subject to</w:t>
      </w:r>
      <w:r>
        <w:rPr>
          <w:rFonts w:cstheme="minorHAnsi"/>
          <w:lang w:val="en-GB"/>
        </w:rPr>
        <w:t>;</w:t>
      </w:r>
      <w:r w:rsidRPr="000E0E0F">
        <w:rPr>
          <w:rFonts w:cstheme="minorHAnsi"/>
          <w:lang w:val="en-GB"/>
        </w:rPr>
        <w:t xml:space="preserve"> NTA approval of apprenticeship agreement</w:t>
      </w:r>
      <w:r>
        <w:rPr>
          <w:rFonts w:cstheme="minorHAnsi"/>
          <w:lang w:val="en-GB"/>
        </w:rPr>
        <w:t>s</w:t>
      </w:r>
      <w:r w:rsidRPr="000E0E0F">
        <w:rPr>
          <w:rFonts w:cstheme="minorHAnsi"/>
          <w:lang w:val="en-GB"/>
        </w:rPr>
        <w:t xml:space="preserve">, workplace induction, </w:t>
      </w:r>
      <w:r w:rsidRPr="000E0E0F">
        <w:rPr>
          <w:rFonts w:cstheme="minorHAnsi"/>
          <w:lang w:val="en-GB"/>
        </w:rPr>
        <w:lastRenderedPageBreak/>
        <w:t>identification and communicating of skills gaps by employers for TVETPs and setting training implementation plans.</w:t>
      </w:r>
    </w:p>
    <w:p w14:paraId="4FD4C8A2" w14:textId="77777777" w:rsidR="00777E8F" w:rsidRPr="000E0E0F" w:rsidRDefault="00777E8F" w:rsidP="00777E8F">
      <w:pPr>
        <w:pStyle w:val="ListParagraph"/>
        <w:numPr>
          <w:ilvl w:val="1"/>
          <w:numId w:val="9"/>
        </w:numPr>
        <w:spacing w:after="120" w:line="276" w:lineRule="auto"/>
        <w:rPr>
          <w:rFonts w:cstheme="minorHAnsi"/>
          <w:lang w:val="en-GB"/>
        </w:rPr>
      </w:pPr>
      <w:r w:rsidRPr="000E0E0F">
        <w:rPr>
          <w:rFonts w:cstheme="minorHAnsi"/>
          <w:lang w:val="en-GB"/>
        </w:rPr>
        <w:t xml:space="preserve">The recording of data linked to key programme milestones (recruitment, induction, registration, progression, completion) </w:t>
      </w:r>
      <w:r>
        <w:rPr>
          <w:rFonts w:cstheme="minorHAnsi"/>
          <w:lang w:val="en-GB"/>
        </w:rPr>
        <w:t xml:space="preserve">to align </w:t>
      </w:r>
      <w:r w:rsidRPr="000E0E0F">
        <w:rPr>
          <w:rFonts w:cstheme="minorHAnsi"/>
          <w:lang w:val="en-GB"/>
        </w:rPr>
        <w:t xml:space="preserve">funding traches </w:t>
      </w:r>
      <w:r>
        <w:rPr>
          <w:rFonts w:cstheme="minorHAnsi"/>
          <w:lang w:val="en-GB"/>
        </w:rPr>
        <w:t>with</w:t>
      </w:r>
      <w:r w:rsidRPr="000E0E0F">
        <w:rPr>
          <w:rFonts w:cstheme="minorHAnsi"/>
          <w:lang w:val="en-GB"/>
        </w:rPr>
        <w:t xml:space="preserve"> </w:t>
      </w:r>
      <w:r>
        <w:rPr>
          <w:rFonts w:cstheme="minorHAnsi"/>
          <w:lang w:val="en-GB"/>
        </w:rPr>
        <w:t>trainee</w:t>
      </w:r>
      <w:r w:rsidRPr="000E0E0F">
        <w:rPr>
          <w:rFonts w:cstheme="minorHAnsi"/>
          <w:lang w:val="en-GB"/>
        </w:rPr>
        <w:t xml:space="preserve"> success and progression.</w:t>
      </w:r>
    </w:p>
    <w:p w14:paraId="3121C505" w14:textId="77777777" w:rsidR="00777E8F" w:rsidRPr="002410BB" w:rsidRDefault="00777E8F" w:rsidP="00777E8F">
      <w:pPr>
        <w:pStyle w:val="ListParagraph"/>
        <w:numPr>
          <w:ilvl w:val="0"/>
          <w:numId w:val="9"/>
        </w:numPr>
        <w:spacing w:after="120" w:line="276" w:lineRule="auto"/>
        <w:rPr>
          <w:rFonts w:cstheme="minorHAnsi"/>
          <w:lang w:val="en-GB"/>
        </w:rPr>
      </w:pPr>
      <w:r>
        <w:rPr>
          <w:rFonts w:cstheme="minorHAnsi"/>
          <w:lang w:val="en-GB"/>
        </w:rPr>
        <w:t>L</w:t>
      </w:r>
      <w:r w:rsidRPr="002410BB">
        <w:rPr>
          <w:rFonts w:cstheme="minorHAnsi"/>
          <w:lang w:val="en-GB"/>
        </w:rPr>
        <w:t>inking of apprenticeships to aligned training programmes</w:t>
      </w:r>
      <w:r>
        <w:rPr>
          <w:rFonts w:cstheme="minorHAnsi"/>
          <w:lang w:val="en-GB"/>
        </w:rPr>
        <w:t xml:space="preserve"> through; joint agreement with </w:t>
      </w:r>
      <w:r w:rsidRPr="002410BB">
        <w:rPr>
          <w:rFonts w:cstheme="minorHAnsi"/>
          <w:lang w:val="en-GB"/>
        </w:rPr>
        <w:t>a TVETP representative</w:t>
      </w:r>
      <w:r>
        <w:rPr>
          <w:rFonts w:cstheme="minorHAnsi"/>
          <w:lang w:val="en-GB"/>
        </w:rPr>
        <w:t xml:space="preserve">, </w:t>
      </w:r>
      <w:r w:rsidRPr="002410BB">
        <w:rPr>
          <w:rFonts w:cstheme="minorHAnsi"/>
          <w:lang w:val="en-GB"/>
        </w:rPr>
        <w:t>the attachment of a training schedule</w:t>
      </w:r>
      <w:r>
        <w:rPr>
          <w:rFonts w:cstheme="minorHAnsi"/>
          <w:lang w:val="en-GB"/>
        </w:rPr>
        <w:t>,</w:t>
      </w:r>
      <w:r w:rsidRPr="002410BB">
        <w:rPr>
          <w:rFonts w:cstheme="minorHAnsi"/>
          <w:lang w:val="en-GB"/>
        </w:rPr>
        <w:t xml:space="preserve"> and names of training providers. As per </w:t>
      </w:r>
      <w:r>
        <w:rPr>
          <w:rFonts w:cstheme="minorHAnsi"/>
          <w:lang w:val="en-GB"/>
        </w:rPr>
        <w:t xml:space="preserve">NTA </w:t>
      </w:r>
      <w:r w:rsidRPr="002410BB">
        <w:rPr>
          <w:rFonts w:cstheme="minorHAnsi"/>
          <w:lang w:val="en-GB"/>
        </w:rPr>
        <w:t>guidelines, training schedules need to be jointly agreed between employers and TVETPs in terms of duration and practical/theoretical input based on a 70:30 ratio,</w:t>
      </w:r>
      <w:r>
        <w:rPr>
          <w:rFonts w:cstheme="minorHAnsi"/>
          <w:lang w:val="en-GB"/>
        </w:rPr>
        <w:t xml:space="preserve"> </w:t>
      </w:r>
      <w:r w:rsidRPr="002410BB">
        <w:rPr>
          <w:rFonts w:cstheme="minorHAnsi"/>
          <w:lang w:val="en-GB"/>
        </w:rPr>
        <w:t xml:space="preserve">and estimated costs. </w:t>
      </w:r>
    </w:p>
    <w:p w14:paraId="12D33975" w14:textId="45024030" w:rsidR="000E0E0F" w:rsidRPr="000E0E0F" w:rsidRDefault="00777E8F" w:rsidP="00AC1243">
      <w:pPr>
        <w:spacing w:after="120" w:line="276" w:lineRule="auto"/>
        <w:rPr>
          <w:rFonts w:asciiTheme="minorHAnsi" w:hAnsiTheme="minorHAnsi" w:cstheme="minorHAnsi"/>
          <w:color w:val="FF0000"/>
          <w:sz w:val="22"/>
          <w:szCs w:val="22"/>
        </w:rPr>
      </w:pPr>
      <w:r>
        <w:rPr>
          <w:rFonts w:asciiTheme="minorHAnsi" w:hAnsiTheme="minorHAnsi" w:cstheme="minorHAnsi"/>
          <w:noProof/>
          <w:color w:val="FF0000"/>
          <w:sz w:val="22"/>
          <w:szCs w:val="22"/>
          <w:lang w:val="en-US" w:eastAsia="en-US"/>
        </w:rPr>
        <w:drawing>
          <wp:inline distT="0" distB="0" distL="0" distR="0" wp14:anchorId="29791FFD" wp14:editId="7F04FA0F">
            <wp:extent cx="6127115" cy="3724910"/>
            <wp:effectExtent l="0" t="0" r="6985"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3724910"/>
                    </a:xfrm>
                    <a:prstGeom prst="rect">
                      <a:avLst/>
                    </a:prstGeom>
                    <a:noFill/>
                  </pic:spPr>
                </pic:pic>
              </a:graphicData>
            </a:graphic>
          </wp:inline>
        </w:drawing>
      </w:r>
    </w:p>
    <w:p w14:paraId="4D7D369B" w14:textId="5153C7EB" w:rsidR="009E19CA" w:rsidRPr="002410BB" w:rsidRDefault="00777E8F" w:rsidP="002410BB">
      <w:pPr>
        <w:pBdr>
          <w:bottom w:val="single" w:sz="4" w:space="1" w:color="auto"/>
        </w:pBdr>
        <w:spacing w:after="160" w:line="259" w:lineRule="auto"/>
        <w:rPr>
          <w:rFonts w:cstheme="minorHAnsi"/>
          <w:b/>
          <w:bCs/>
        </w:rPr>
      </w:pPr>
      <w:r>
        <w:rPr>
          <w:rFonts w:asciiTheme="minorHAnsi" w:hAnsiTheme="minorHAnsi" w:cstheme="minorHAnsi"/>
          <w:b/>
          <w:bCs/>
        </w:rPr>
        <w:t>Pros and Cons</w:t>
      </w:r>
    </w:p>
    <w:p w14:paraId="25C7C4D6" w14:textId="56E73EDD" w:rsidR="00F74F73" w:rsidRPr="00F74F73" w:rsidRDefault="00777E8F" w:rsidP="00F74F73">
      <w:pPr>
        <w:spacing w:after="120" w:line="276" w:lineRule="auto"/>
        <w:rPr>
          <w:rFonts w:asciiTheme="minorHAnsi" w:hAnsiTheme="minorHAnsi" w:cstheme="minorHAnsi"/>
          <w:b/>
          <w:bCs/>
          <w:color w:val="000000" w:themeColor="text1"/>
          <w:sz w:val="22"/>
          <w:szCs w:val="22"/>
          <w:lang w:eastAsia="da-DK"/>
        </w:rPr>
      </w:pPr>
      <w:r>
        <w:rPr>
          <w:rFonts w:asciiTheme="minorHAnsi" w:hAnsiTheme="minorHAnsi" w:cstheme="minorHAnsi"/>
          <w:b/>
          <w:bCs/>
          <w:color w:val="000000" w:themeColor="text1"/>
          <w:sz w:val="22"/>
          <w:szCs w:val="22"/>
          <w:lang w:eastAsia="da-DK"/>
        </w:rPr>
        <w:t>Pros</w:t>
      </w:r>
    </w:p>
    <w:p w14:paraId="1F51F017" w14:textId="4513DF38" w:rsidR="00756C00" w:rsidRDefault="00756C00" w:rsidP="008761AB">
      <w:pPr>
        <w:pStyle w:val="ListParagraph"/>
        <w:numPr>
          <w:ilvl w:val="0"/>
          <w:numId w:val="10"/>
        </w:numPr>
        <w:spacing w:after="120" w:line="276" w:lineRule="auto"/>
        <w:rPr>
          <w:rFonts w:cstheme="minorHAnsi"/>
          <w:color w:val="000000" w:themeColor="text1"/>
          <w:lang w:val="en-GB" w:eastAsia="da-DK"/>
        </w:rPr>
      </w:pPr>
      <w:r w:rsidRPr="00EE6F8B">
        <w:rPr>
          <w:rFonts w:cstheme="minorHAnsi"/>
          <w:color w:val="000000" w:themeColor="text1"/>
          <w:lang w:val="en-GB" w:eastAsia="da-DK"/>
        </w:rPr>
        <w:t xml:space="preserve">The </w:t>
      </w:r>
      <w:r w:rsidR="006B71D1" w:rsidRPr="00EE6F8B">
        <w:rPr>
          <w:rFonts w:cstheme="minorHAnsi"/>
          <w:color w:val="000000" w:themeColor="text1"/>
          <w:lang w:val="en-GB" w:eastAsia="da-DK"/>
        </w:rPr>
        <w:t>tool provide</w:t>
      </w:r>
      <w:r w:rsidR="002410BB">
        <w:rPr>
          <w:rFonts w:cstheme="minorHAnsi"/>
          <w:color w:val="000000" w:themeColor="text1"/>
          <w:lang w:val="en-GB" w:eastAsia="da-DK"/>
        </w:rPr>
        <w:t>s</w:t>
      </w:r>
      <w:r w:rsidR="006B71D1" w:rsidRPr="00EE6F8B">
        <w:rPr>
          <w:rFonts w:cstheme="minorHAnsi"/>
          <w:color w:val="000000" w:themeColor="text1"/>
          <w:lang w:val="en-GB" w:eastAsia="da-DK"/>
        </w:rPr>
        <w:t xml:space="preserve"> a practical </w:t>
      </w:r>
      <w:r w:rsidR="002410BB">
        <w:rPr>
          <w:rFonts w:cstheme="minorHAnsi"/>
          <w:color w:val="000000" w:themeColor="text1"/>
          <w:lang w:val="en-GB" w:eastAsia="da-DK"/>
        </w:rPr>
        <w:t xml:space="preserve">guide </w:t>
      </w:r>
      <w:r w:rsidR="006B71D1" w:rsidRPr="00EE6F8B">
        <w:rPr>
          <w:rFonts w:cstheme="minorHAnsi"/>
          <w:color w:val="000000" w:themeColor="text1"/>
          <w:lang w:val="en-GB" w:eastAsia="da-DK"/>
        </w:rPr>
        <w:t xml:space="preserve">which will help to </w:t>
      </w:r>
      <w:r w:rsidR="002410BB">
        <w:rPr>
          <w:rFonts w:cstheme="minorHAnsi"/>
          <w:color w:val="000000" w:themeColor="text1"/>
          <w:lang w:val="en-GB" w:eastAsia="da-DK"/>
        </w:rPr>
        <w:t xml:space="preserve">support and guide employers in the development of effective training programmes. </w:t>
      </w:r>
      <w:r w:rsidR="006B71D1" w:rsidRPr="00EE6F8B">
        <w:rPr>
          <w:rFonts w:cstheme="minorHAnsi"/>
          <w:color w:val="000000" w:themeColor="text1"/>
          <w:lang w:val="en-GB" w:eastAsia="da-DK"/>
        </w:rPr>
        <w:t xml:space="preserve"> </w:t>
      </w:r>
    </w:p>
    <w:p w14:paraId="26673FB0" w14:textId="53305BFD" w:rsidR="002410BB" w:rsidRPr="00BD16A5" w:rsidRDefault="002410BB" w:rsidP="00BD16A5">
      <w:pPr>
        <w:pStyle w:val="ListParagraph"/>
        <w:numPr>
          <w:ilvl w:val="0"/>
          <w:numId w:val="10"/>
        </w:numPr>
        <w:spacing w:after="120" w:line="276" w:lineRule="auto"/>
        <w:rPr>
          <w:rFonts w:cstheme="minorHAnsi"/>
          <w:color w:val="000000" w:themeColor="text1"/>
          <w:lang w:val="en-GB" w:eastAsia="da-DK"/>
        </w:rPr>
      </w:pPr>
      <w:r>
        <w:rPr>
          <w:rFonts w:cstheme="minorHAnsi"/>
          <w:color w:val="000000" w:themeColor="text1"/>
          <w:lang w:val="en-GB" w:eastAsia="da-DK"/>
        </w:rPr>
        <w:t xml:space="preserve">The use of NTA WIL policy criteria in </w:t>
      </w:r>
      <w:r w:rsidR="00597484">
        <w:rPr>
          <w:rFonts w:cstheme="minorHAnsi"/>
          <w:color w:val="000000" w:themeColor="text1"/>
          <w:lang w:val="en-GB" w:eastAsia="da-DK"/>
        </w:rPr>
        <w:t>implementation plans’</w:t>
      </w:r>
      <w:r>
        <w:rPr>
          <w:rFonts w:cstheme="minorHAnsi"/>
          <w:color w:val="000000" w:themeColor="text1"/>
          <w:lang w:val="en-GB" w:eastAsia="da-DK"/>
        </w:rPr>
        <w:t xml:space="preserve"> fields will help to ensure that employers (and partners) are developing programmes aligned with guidelines</w:t>
      </w:r>
      <w:r w:rsidR="001E7477">
        <w:rPr>
          <w:rFonts w:cstheme="minorHAnsi"/>
          <w:color w:val="000000" w:themeColor="text1"/>
          <w:lang w:val="en-GB" w:eastAsia="da-DK"/>
        </w:rPr>
        <w:t xml:space="preserve"> and funding requirements</w:t>
      </w:r>
      <w:r w:rsidR="00BD16A5" w:rsidRPr="00EE6F8B">
        <w:rPr>
          <w:rFonts w:cstheme="minorHAnsi"/>
          <w:color w:val="000000" w:themeColor="text1"/>
          <w:lang w:val="en-GB" w:eastAsia="da-DK"/>
        </w:rPr>
        <w:t xml:space="preserve">. </w:t>
      </w:r>
      <w:r w:rsidR="00BD16A5" w:rsidRPr="00EE6F8B">
        <w:rPr>
          <w:rFonts w:ascii="Calibri" w:hAnsi="Calibri" w:cs="Calibri"/>
          <w:color w:val="000000" w:themeColor="text1"/>
          <w:lang w:val="en-GB" w:eastAsia="da-DK"/>
        </w:rPr>
        <w:t>The tool</w:t>
      </w:r>
      <w:r w:rsidR="00597484">
        <w:rPr>
          <w:rFonts w:ascii="Calibri" w:hAnsi="Calibri" w:cs="Calibri"/>
          <w:color w:val="000000" w:themeColor="text1"/>
          <w:lang w:val="en-GB" w:eastAsia="da-DK"/>
        </w:rPr>
        <w:t xml:space="preserve"> </w:t>
      </w:r>
      <w:r w:rsidR="00BD16A5" w:rsidRPr="00EE6F8B">
        <w:rPr>
          <w:rFonts w:ascii="Calibri" w:hAnsi="Calibri" w:cs="Calibri"/>
          <w:color w:val="000000" w:themeColor="text1"/>
          <w:lang w:val="en-GB" w:eastAsia="da-DK"/>
        </w:rPr>
        <w:t>provide</w:t>
      </w:r>
      <w:r w:rsidR="00597484">
        <w:rPr>
          <w:rFonts w:ascii="Calibri" w:hAnsi="Calibri" w:cs="Calibri"/>
          <w:color w:val="000000" w:themeColor="text1"/>
          <w:lang w:val="en-GB" w:eastAsia="da-DK"/>
        </w:rPr>
        <w:t>s</w:t>
      </w:r>
      <w:r w:rsidR="00BD16A5" w:rsidRPr="00EE6F8B">
        <w:rPr>
          <w:rFonts w:ascii="Calibri" w:hAnsi="Calibri" w:cs="Calibri"/>
          <w:color w:val="000000" w:themeColor="text1"/>
          <w:lang w:val="en-GB" w:eastAsia="da-DK"/>
        </w:rPr>
        <w:t xml:space="preserve"> an</w:t>
      </w:r>
      <w:r w:rsidR="00597484">
        <w:rPr>
          <w:rFonts w:ascii="Calibri" w:hAnsi="Calibri" w:cs="Calibri"/>
          <w:color w:val="000000" w:themeColor="text1"/>
          <w:lang w:val="en-GB" w:eastAsia="da-DK"/>
        </w:rPr>
        <w:t xml:space="preserve"> </w:t>
      </w:r>
      <w:r w:rsidR="00BD16A5" w:rsidRPr="00EE6F8B">
        <w:rPr>
          <w:rFonts w:ascii="Calibri" w:hAnsi="Calibri" w:cs="Calibri"/>
          <w:color w:val="000000" w:themeColor="text1"/>
          <w:lang w:val="en-GB" w:eastAsia="da-DK"/>
        </w:rPr>
        <w:t xml:space="preserve">example of how policy can be translated into practice. </w:t>
      </w:r>
    </w:p>
    <w:p w14:paraId="70CB1E6F" w14:textId="40F8E196" w:rsidR="00C63AE8" w:rsidRPr="00BD16A5" w:rsidRDefault="00BD16A5" w:rsidP="00BD16A5">
      <w:pPr>
        <w:pStyle w:val="ListParagraph"/>
        <w:numPr>
          <w:ilvl w:val="0"/>
          <w:numId w:val="10"/>
        </w:numPr>
        <w:spacing w:after="120" w:line="276" w:lineRule="auto"/>
        <w:rPr>
          <w:rFonts w:cstheme="minorHAnsi"/>
          <w:color w:val="000000" w:themeColor="text1"/>
          <w:lang w:val="en-GB" w:eastAsia="da-DK"/>
        </w:rPr>
      </w:pPr>
      <w:r w:rsidRPr="00EE6F8B">
        <w:rPr>
          <w:rFonts w:cstheme="minorHAnsi"/>
          <w:color w:val="000000" w:themeColor="text1"/>
          <w:lang w:val="en-GB"/>
        </w:rPr>
        <w:t xml:space="preserve">The </w:t>
      </w:r>
      <w:r>
        <w:rPr>
          <w:rFonts w:cstheme="minorHAnsi"/>
          <w:color w:val="000000" w:themeColor="text1"/>
          <w:lang w:val="en-GB"/>
        </w:rPr>
        <w:t xml:space="preserve">introduction of </w:t>
      </w:r>
      <w:r w:rsidRPr="00EE6F8B">
        <w:rPr>
          <w:rFonts w:cstheme="minorHAnsi"/>
          <w:color w:val="000000" w:themeColor="text1"/>
          <w:lang w:val="en-GB"/>
        </w:rPr>
        <w:t>TVETP</w:t>
      </w:r>
      <w:r>
        <w:rPr>
          <w:rFonts w:cstheme="minorHAnsi"/>
          <w:color w:val="000000" w:themeColor="text1"/>
          <w:lang w:val="en-GB"/>
        </w:rPr>
        <w:t xml:space="preserve"> requirements</w:t>
      </w:r>
      <w:r w:rsidRPr="00EE6F8B">
        <w:rPr>
          <w:rFonts w:cstheme="minorHAnsi"/>
          <w:color w:val="000000" w:themeColor="text1"/>
          <w:lang w:val="en-GB"/>
        </w:rPr>
        <w:t xml:space="preserve"> in the</w:t>
      </w:r>
      <w:r>
        <w:rPr>
          <w:rFonts w:cstheme="minorHAnsi"/>
          <w:color w:val="000000" w:themeColor="text1"/>
          <w:lang w:val="en-GB"/>
        </w:rPr>
        <w:t xml:space="preserve"> planning</w:t>
      </w:r>
      <w:r w:rsidRPr="00EE6F8B">
        <w:rPr>
          <w:rFonts w:cstheme="minorHAnsi"/>
          <w:color w:val="000000" w:themeColor="text1"/>
          <w:lang w:val="en-GB"/>
        </w:rPr>
        <w:t xml:space="preserve"> from will ensure that employers have considered how they can establish TVET sector partnerships that support the development of appropriate </w:t>
      </w:r>
      <w:r>
        <w:rPr>
          <w:rFonts w:cstheme="minorHAnsi"/>
          <w:color w:val="000000" w:themeColor="text1"/>
          <w:lang w:val="en-GB"/>
        </w:rPr>
        <w:t>training schedules</w:t>
      </w:r>
      <w:r w:rsidRPr="00EE6F8B">
        <w:rPr>
          <w:rFonts w:cstheme="minorHAnsi"/>
          <w:color w:val="000000" w:themeColor="text1"/>
          <w:lang w:val="en-GB"/>
        </w:rPr>
        <w:t xml:space="preserve">, embedding of theoretical input and the effective costing of </w:t>
      </w:r>
      <w:r w:rsidR="00597484">
        <w:rPr>
          <w:rFonts w:cstheme="minorHAnsi"/>
          <w:color w:val="000000" w:themeColor="text1"/>
          <w:lang w:val="en-GB"/>
        </w:rPr>
        <w:t>WIL</w:t>
      </w:r>
      <w:r w:rsidRPr="00EE6F8B">
        <w:rPr>
          <w:rFonts w:cstheme="minorHAnsi"/>
          <w:color w:val="000000" w:themeColor="text1"/>
          <w:lang w:val="en-GB"/>
        </w:rPr>
        <w:t xml:space="preserve"> programmes. </w:t>
      </w:r>
    </w:p>
    <w:p w14:paraId="1A2AB4BC" w14:textId="24BF059C" w:rsidR="00BD16A5" w:rsidRPr="00EE6F8B" w:rsidRDefault="00BD16A5" w:rsidP="008761AB">
      <w:pPr>
        <w:pStyle w:val="ListParagraph"/>
        <w:numPr>
          <w:ilvl w:val="0"/>
          <w:numId w:val="10"/>
        </w:numPr>
        <w:spacing w:after="120" w:line="276" w:lineRule="auto"/>
        <w:rPr>
          <w:rFonts w:cstheme="minorHAnsi"/>
          <w:color w:val="000000" w:themeColor="text1"/>
          <w:lang w:val="en-GB" w:eastAsia="da-DK"/>
        </w:rPr>
      </w:pPr>
      <w:r>
        <w:rPr>
          <w:rFonts w:cstheme="minorHAnsi"/>
          <w:color w:val="000000" w:themeColor="text1"/>
          <w:lang w:val="en-GB" w:eastAsia="da-DK"/>
        </w:rPr>
        <w:t xml:space="preserve">The recording of apprenticeship/supervisor ratios will promote the safety and quality of WIL programmes and ensure that employers are adhering to minimum supervision requirements. </w:t>
      </w:r>
    </w:p>
    <w:p w14:paraId="65E0D0ED" w14:textId="27F80BA7" w:rsidR="00BD16A5" w:rsidRPr="00BD16A5" w:rsidRDefault="00597484" w:rsidP="008761AB">
      <w:pPr>
        <w:pStyle w:val="ListParagraph"/>
        <w:numPr>
          <w:ilvl w:val="0"/>
          <w:numId w:val="10"/>
        </w:numPr>
        <w:spacing w:after="120" w:line="276" w:lineRule="auto"/>
        <w:rPr>
          <w:rFonts w:cstheme="minorHAnsi"/>
          <w:color w:val="000000" w:themeColor="text1"/>
          <w:lang w:val="en-GB" w:eastAsia="da-DK"/>
        </w:rPr>
      </w:pPr>
      <w:r>
        <w:rPr>
          <w:rFonts w:ascii="Calibri" w:hAnsi="Calibri" w:cs="Calibri"/>
          <w:color w:val="000000" w:themeColor="text1"/>
          <w:lang w:val="en-GB" w:eastAsia="da-DK"/>
        </w:rPr>
        <w:lastRenderedPageBreak/>
        <w:t>R</w:t>
      </w:r>
      <w:r w:rsidR="00BD16A5">
        <w:rPr>
          <w:rFonts w:ascii="Calibri" w:hAnsi="Calibri" w:cs="Calibri"/>
          <w:color w:val="000000" w:themeColor="text1"/>
          <w:lang w:val="en-GB" w:eastAsia="da-DK"/>
        </w:rPr>
        <w:t xml:space="preserve">ecording data linked to recruitment, induction, registration (TVETP and NTA), progression and completion </w:t>
      </w:r>
      <w:r w:rsidR="00A50C49" w:rsidRPr="00EE6F8B">
        <w:rPr>
          <w:rFonts w:ascii="Calibri" w:hAnsi="Calibri" w:cs="Calibri"/>
          <w:color w:val="000000" w:themeColor="text1"/>
          <w:lang w:val="en-GB" w:eastAsia="da-DK"/>
        </w:rPr>
        <w:t>will help to formalise WIL and that apprentices</w:t>
      </w:r>
      <w:r w:rsidR="00BD16A5">
        <w:rPr>
          <w:rFonts w:ascii="Calibri" w:hAnsi="Calibri" w:cs="Calibri"/>
          <w:color w:val="000000" w:themeColor="text1"/>
          <w:lang w:val="en-GB" w:eastAsia="da-DK"/>
        </w:rPr>
        <w:t xml:space="preserve"> progress is being monitored and recorded. </w:t>
      </w:r>
      <w:r w:rsidR="00A50C49" w:rsidRPr="00EE6F8B">
        <w:rPr>
          <w:rFonts w:ascii="Calibri" w:hAnsi="Calibri" w:cs="Calibri"/>
          <w:color w:val="000000" w:themeColor="text1"/>
          <w:lang w:val="en-GB" w:eastAsia="da-DK"/>
        </w:rPr>
        <w:t xml:space="preserve"> </w:t>
      </w:r>
    </w:p>
    <w:p w14:paraId="643F0D14" w14:textId="1D71FCAB" w:rsidR="00A50C49" w:rsidRPr="001D2B1F" w:rsidRDefault="00597484" w:rsidP="008761AB">
      <w:pPr>
        <w:pStyle w:val="ListParagraph"/>
        <w:numPr>
          <w:ilvl w:val="0"/>
          <w:numId w:val="10"/>
        </w:numPr>
        <w:spacing w:after="120" w:line="276" w:lineRule="auto"/>
        <w:rPr>
          <w:rFonts w:cstheme="minorHAnsi"/>
          <w:color w:val="000000" w:themeColor="text1"/>
          <w:lang w:val="en-GB" w:eastAsia="da-DK"/>
        </w:rPr>
      </w:pPr>
      <w:r>
        <w:rPr>
          <w:rFonts w:ascii="Calibri" w:hAnsi="Calibri" w:cs="Calibri"/>
          <w:color w:val="000000" w:themeColor="text1"/>
          <w:lang w:val="en-GB" w:eastAsia="da-DK"/>
        </w:rPr>
        <w:t>R</w:t>
      </w:r>
      <w:r w:rsidR="00F74F73">
        <w:rPr>
          <w:rFonts w:ascii="Calibri" w:hAnsi="Calibri" w:cs="Calibri"/>
          <w:color w:val="000000" w:themeColor="text1"/>
          <w:lang w:val="en-GB" w:eastAsia="da-DK"/>
        </w:rPr>
        <w:t xml:space="preserve">egistration will also address </w:t>
      </w:r>
      <w:r w:rsidR="001E7477">
        <w:rPr>
          <w:rFonts w:ascii="Calibri" w:hAnsi="Calibri" w:cs="Calibri"/>
          <w:color w:val="000000" w:themeColor="text1"/>
          <w:lang w:val="en-GB" w:eastAsia="da-DK"/>
        </w:rPr>
        <w:t xml:space="preserve">some of the </w:t>
      </w:r>
      <w:r w:rsidR="00F74F73">
        <w:rPr>
          <w:rFonts w:ascii="Calibri" w:hAnsi="Calibri" w:cs="Calibri"/>
          <w:color w:val="000000" w:themeColor="text1"/>
          <w:lang w:val="en-GB" w:eastAsia="da-DK"/>
        </w:rPr>
        <w:t xml:space="preserve">challenges associated with </w:t>
      </w:r>
      <w:r w:rsidR="001E7477">
        <w:rPr>
          <w:rFonts w:ascii="Calibri" w:hAnsi="Calibri" w:cs="Calibri"/>
          <w:color w:val="000000" w:themeColor="text1"/>
          <w:lang w:val="en-GB" w:eastAsia="da-DK"/>
        </w:rPr>
        <w:t xml:space="preserve">recording </w:t>
      </w:r>
      <w:r w:rsidR="00F74F73">
        <w:rPr>
          <w:rFonts w:ascii="Calibri" w:hAnsi="Calibri" w:cs="Calibri"/>
          <w:color w:val="000000" w:themeColor="text1"/>
          <w:lang w:val="en-GB" w:eastAsia="da-DK"/>
        </w:rPr>
        <w:t xml:space="preserve">WIL in the informal sector. </w:t>
      </w:r>
    </w:p>
    <w:p w14:paraId="38F6EA8A" w14:textId="66B2A460" w:rsidR="001D2B1F" w:rsidRPr="00580118" w:rsidRDefault="001D2B1F" w:rsidP="008761AB">
      <w:pPr>
        <w:pStyle w:val="ListParagraph"/>
        <w:numPr>
          <w:ilvl w:val="0"/>
          <w:numId w:val="10"/>
        </w:numPr>
        <w:spacing w:after="120" w:line="276" w:lineRule="auto"/>
        <w:rPr>
          <w:rFonts w:cstheme="minorHAnsi"/>
          <w:color w:val="000000" w:themeColor="text1"/>
          <w:lang w:val="en-GB" w:eastAsia="da-DK"/>
        </w:rPr>
      </w:pPr>
      <w:r>
        <w:rPr>
          <w:rFonts w:ascii="Calibri" w:hAnsi="Calibri" w:cs="Calibri"/>
          <w:color w:val="000000" w:themeColor="text1"/>
          <w:lang w:val="en-GB" w:eastAsia="da-DK"/>
        </w:rPr>
        <w:t xml:space="preserve">The use of the ‘Apprenticeship: Supervisor Ratio </w:t>
      </w:r>
      <w:r w:rsidR="00580118">
        <w:rPr>
          <w:rFonts w:ascii="Calibri" w:hAnsi="Calibri" w:cs="Calibri"/>
          <w:color w:val="000000" w:themeColor="text1"/>
          <w:lang w:val="en-GB" w:eastAsia="da-DK"/>
        </w:rPr>
        <w:t xml:space="preserve">field will directly ensure that employers are meeting NTA WIL Guidelines requirements through assigning an appropriate supervisor resource to meet training and safety needs. </w:t>
      </w:r>
    </w:p>
    <w:p w14:paraId="6E58F115" w14:textId="032419DE" w:rsidR="00580118" w:rsidRPr="001D2B1F" w:rsidRDefault="00580118" w:rsidP="008761AB">
      <w:pPr>
        <w:pStyle w:val="ListParagraph"/>
        <w:numPr>
          <w:ilvl w:val="0"/>
          <w:numId w:val="10"/>
        </w:numPr>
        <w:spacing w:after="120" w:line="276" w:lineRule="auto"/>
        <w:rPr>
          <w:rFonts w:cstheme="minorHAnsi"/>
          <w:color w:val="000000" w:themeColor="text1"/>
          <w:lang w:val="en-GB" w:eastAsia="da-DK"/>
        </w:rPr>
      </w:pPr>
      <w:r>
        <w:rPr>
          <w:rFonts w:ascii="Calibri" w:hAnsi="Calibri" w:cs="Calibri"/>
          <w:color w:val="000000" w:themeColor="text1"/>
          <w:lang w:val="en-GB" w:eastAsia="da-DK"/>
        </w:rPr>
        <w:t xml:space="preserve">The use of a progress check (60%) field will also ensure that the template supports the allocation of funding to reflect apprentices’ progression. This will allow NTA to monitor progress to reflect the utilisation of funding ‘tranches.’ This will allow them to utilise levy funding to drive target outcomes. </w:t>
      </w:r>
    </w:p>
    <w:p w14:paraId="1990A144" w14:textId="61FB423A" w:rsidR="00F24C67" w:rsidRPr="00EE6F8B" w:rsidRDefault="00777E8F" w:rsidP="008761AB">
      <w:pPr>
        <w:spacing w:after="120" w:line="276" w:lineRule="auto"/>
        <w:ind w:left="360"/>
        <w:rPr>
          <w:rFonts w:asciiTheme="minorHAnsi" w:hAnsiTheme="minorHAnsi" w:cstheme="minorHAnsi"/>
          <w:color w:val="000000" w:themeColor="text1"/>
          <w:sz w:val="22"/>
          <w:szCs w:val="22"/>
          <w:lang w:eastAsia="da-DK"/>
        </w:rPr>
      </w:pPr>
      <w:r>
        <w:rPr>
          <w:rFonts w:ascii="Calibri" w:hAnsi="Calibri" w:cs="Calibri"/>
          <w:b/>
          <w:bCs/>
          <w:color w:val="000000" w:themeColor="text1"/>
          <w:sz w:val="22"/>
          <w:szCs w:val="22"/>
          <w:lang w:eastAsia="da-DK"/>
        </w:rPr>
        <w:t>Cons</w:t>
      </w:r>
    </w:p>
    <w:p w14:paraId="2FD6FD35" w14:textId="42FDFAEE" w:rsidR="006F0253" w:rsidRPr="00110E3F" w:rsidRDefault="00597484" w:rsidP="00110E3F">
      <w:pPr>
        <w:pStyle w:val="ListParagraph"/>
        <w:numPr>
          <w:ilvl w:val="0"/>
          <w:numId w:val="10"/>
        </w:numPr>
        <w:shd w:val="clear" w:color="auto" w:fill="FFFFFF"/>
        <w:spacing w:after="120" w:line="276" w:lineRule="auto"/>
        <w:rPr>
          <w:rFonts w:ascii="Calibri" w:hAnsi="Calibri" w:cs="Calibri"/>
          <w:b/>
          <w:bCs/>
          <w:color w:val="000000" w:themeColor="text1"/>
          <w:lang w:val="en-GB" w:eastAsia="da-DK"/>
        </w:rPr>
      </w:pPr>
      <w:r>
        <w:rPr>
          <w:rFonts w:ascii="Calibri" w:hAnsi="Calibri" w:cs="Calibri"/>
          <w:color w:val="000000" w:themeColor="text1"/>
          <w:lang w:val="en-GB" w:eastAsia="da-DK"/>
        </w:rPr>
        <w:t>So</w:t>
      </w:r>
      <w:r w:rsidR="00F24C67" w:rsidRPr="00EE6F8B">
        <w:rPr>
          <w:rFonts w:ascii="Calibri" w:hAnsi="Calibri" w:cs="Calibri"/>
          <w:color w:val="000000" w:themeColor="text1"/>
          <w:lang w:val="en-GB" w:eastAsia="da-DK"/>
        </w:rPr>
        <w:t>me stakeholders will need further development for them to fulfil their allocated roles</w:t>
      </w:r>
      <w:r>
        <w:rPr>
          <w:rFonts w:ascii="Calibri" w:hAnsi="Calibri" w:cs="Calibri"/>
          <w:color w:val="000000" w:themeColor="text1"/>
          <w:lang w:val="en-GB" w:eastAsia="da-DK"/>
        </w:rPr>
        <w:t xml:space="preserve"> and a </w:t>
      </w:r>
      <w:r w:rsidR="006F0253" w:rsidRPr="00EE6F8B">
        <w:rPr>
          <w:rFonts w:ascii="Calibri" w:hAnsi="Calibri" w:cs="Calibri"/>
          <w:color w:val="000000" w:themeColor="text1"/>
          <w:lang w:val="en-GB" w:eastAsia="da-DK"/>
        </w:rPr>
        <w:t xml:space="preserve">more </w:t>
      </w:r>
      <w:r w:rsidR="00110E3F">
        <w:rPr>
          <w:rFonts w:ascii="Calibri" w:hAnsi="Calibri" w:cs="Calibri"/>
          <w:color w:val="000000" w:themeColor="text1"/>
          <w:lang w:val="en-GB" w:eastAsia="da-DK"/>
        </w:rPr>
        <w:t xml:space="preserve">descriptive document, highlighting how the different fields could be populated </w:t>
      </w:r>
      <w:r w:rsidR="006F0253" w:rsidRPr="00EE6F8B">
        <w:rPr>
          <w:rFonts w:ascii="Calibri" w:hAnsi="Calibri" w:cs="Calibri"/>
          <w:color w:val="000000" w:themeColor="text1"/>
          <w:lang w:val="en-GB" w:eastAsia="da-DK"/>
        </w:rPr>
        <w:t xml:space="preserve">could </w:t>
      </w:r>
      <w:r w:rsidR="00EE6F8B">
        <w:rPr>
          <w:rFonts w:ascii="Calibri" w:hAnsi="Calibri" w:cs="Calibri"/>
          <w:color w:val="000000" w:themeColor="text1"/>
          <w:lang w:val="en-GB" w:eastAsia="da-DK"/>
        </w:rPr>
        <w:t xml:space="preserve">further </w:t>
      </w:r>
      <w:r w:rsidR="006F0253" w:rsidRPr="00EE6F8B">
        <w:rPr>
          <w:rFonts w:ascii="Calibri" w:hAnsi="Calibri" w:cs="Calibri"/>
          <w:color w:val="000000" w:themeColor="text1"/>
          <w:lang w:val="en-GB" w:eastAsia="da-DK"/>
        </w:rPr>
        <w:t xml:space="preserve">engage stakeholders. </w:t>
      </w:r>
      <w:r w:rsidR="007408E0" w:rsidRPr="00777E8F">
        <w:rPr>
          <w:rFonts w:ascii="Calibri" w:hAnsi="Calibri" w:cs="Calibri"/>
          <w:color w:val="000000" w:themeColor="text1"/>
          <w:lang w:val="en-US" w:eastAsia="da-DK"/>
        </w:rPr>
        <w:t xml:space="preserve"> </w:t>
      </w:r>
    </w:p>
    <w:p w14:paraId="688253FB" w14:textId="6582E019" w:rsidR="00980823" w:rsidRPr="00980823" w:rsidRDefault="007408E0" w:rsidP="00110E3F">
      <w:pPr>
        <w:pStyle w:val="ListParagraph"/>
        <w:numPr>
          <w:ilvl w:val="0"/>
          <w:numId w:val="10"/>
        </w:numPr>
        <w:shd w:val="clear" w:color="auto" w:fill="FFFFFF"/>
        <w:spacing w:after="120" w:line="276" w:lineRule="auto"/>
        <w:rPr>
          <w:rFonts w:ascii="Calibri" w:hAnsi="Calibri" w:cs="Calibri"/>
          <w:b/>
          <w:bCs/>
          <w:color w:val="000000" w:themeColor="text1"/>
          <w:lang w:val="en-GB" w:eastAsia="da-DK"/>
        </w:rPr>
      </w:pPr>
      <w:r w:rsidRPr="00EE6F8B">
        <w:rPr>
          <w:rFonts w:ascii="Calibri" w:hAnsi="Calibri" w:cs="Calibri"/>
          <w:color w:val="000000" w:themeColor="text1"/>
          <w:lang w:val="en-GB" w:eastAsia="da-DK"/>
        </w:rPr>
        <w:t xml:space="preserve">The tools focus on the </w:t>
      </w:r>
      <w:r w:rsidR="00110E3F">
        <w:rPr>
          <w:rFonts w:ascii="Calibri" w:hAnsi="Calibri" w:cs="Calibri"/>
          <w:color w:val="000000" w:themeColor="text1"/>
          <w:lang w:val="en-GB" w:eastAsia="da-DK"/>
        </w:rPr>
        <w:t>registration</w:t>
      </w:r>
      <w:r w:rsidRPr="00EE6F8B">
        <w:rPr>
          <w:rFonts w:ascii="Calibri" w:hAnsi="Calibri" w:cs="Calibri"/>
          <w:color w:val="000000" w:themeColor="text1"/>
          <w:lang w:val="en-GB" w:eastAsia="da-DK"/>
        </w:rPr>
        <w:t xml:space="preserve"> process and pre delivery requirements</w:t>
      </w:r>
      <w:r w:rsidR="00597484">
        <w:rPr>
          <w:rFonts w:ascii="Calibri" w:hAnsi="Calibri" w:cs="Calibri"/>
          <w:color w:val="000000" w:themeColor="text1"/>
          <w:lang w:val="en-GB" w:eastAsia="da-DK"/>
        </w:rPr>
        <w:t xml:space="preserve"> </w:t>
      </w:r>
      <w:r w:rsidRPr="00EE6F8B">
        <w:rPr>
          <w:rFonts w:ascii="Calibri" w:hAnsi="Calibri" w:cs="Calibri"/>
          <w:color w:val="000000" w:themeColor="text1"/>
          <w:lang w:val="en-GB" w:eastAsia="da-DK"/>
        </w:rPr>
        <w:t xml:space="preserve">but </w:t>
      </w:r>
      <w:r w:rsidR="00110E3F">
        <w:rPr>
          <w:rFonts w:ascii="Calibri" w:hAnsi="Calibri" w:cs="Calibri"/>
          <w:color w:val="000000" w:themeColor="text1"/>
          <w:lang w:val="en-GB" w:eastAsia="da-DK"/>
        </w:rPr>
        <w:t xml:space="preserve">further fields related to </w:t>
      </w:r>
      <w:r w:rsidRPr="00EE6F8B">
        <w:rPr>
          <w:rFonts w:ascii="Calibri" w:hAnsi="Calibri" w:cs="Calibri"/>
          <w:color w:val="000000" w:themeColor="text1"/>
          <w:lang w:val="en-GB" w:eastAsia="da-DK"/>
        </w:rPr>
        <w:t>how WIL</w:t>
      </w:r>
      <w:r w:rsidR="00110E3F">
        <w:rPr>
          <w:rFonts w:ascii="Calibri" w:hAnsi="Calibri" w:cs="Calibri"/>
          <w:color w:val="000000" w:themeColor="text1"/>
          <w:lang w:val="en-GB" w:eastAsia="da-DK"/>
        </w:rPr>
        <w:t xml:space="preserve"> is</w:t>
      </w:r>
      <w:r w:rsidRPr="00EE6F8B">
        <w:rPr>
          <w:rFonts w:ascii="Calibri" w:hAnsi="Calibri" w:cs="Calibri"/>
          <w:color w:val="000000" w:themeColor="text1"/>
          <w:lang w:val="en-GB" w:eastAsia="da-DK"/>
        </w:rPr>
        <w:t xml:space="preserve"> delivered, monitored and assessed could add additional value. </w:t>
      </w:r>
      <w:r w:rsidR="00F24C67" w:rsidRPr="00EE6F8B">
        <w:rPr>
          <w:rFonts w:ascii="Calibri" w:hAnsi="Calibri" w:cs="Calibri"/>
          <w:color w:val="000000" w:themeColor="text1"/>
          <w:lang w:val="en-GB" w:eastAsia="da-DK"/>
        </w:rPr>
        <w:t xml:space="preserve"> </w:t>
      </w:r>
    </w:p>
    <w:p w14:paraId="08BF7E4F" w14:textId="04A7C059" w:rsidR="00980823" w:rsidRPr="00597484" w:rsidRDefault="00597484" w:rsidP="00980823">
      <w:pPr>
        <w:pStyle w:val="ListParagraph"/>
        <w:numPr>
          <w:ilvl w:val="0"/>
          <w:numId w:val="10"/>
        </w:numPr>
        <w:shd w:val="clear" w:color="auto" w:fill="FFFFFF"/>
        <w:spacing w:after="120" w:line="276" w:lineRule="auto"/>
        <w:rPr>
          <w:rFonts w:ascii="Calibri" w:hAnsi="Calibri" w:cs="Calibri"/>
          <w:b/>
          <w:bCs/>
          <w:color w:val="000000" w:themeColor="text1"/>
          <w:lang w:val="en-GB" w:eastAsia="da-DK"/>
        </w:rPr>
      </w:pPr>
      <w:r>
        <w:rPr>
          <w:rFonts w:ascii="Calibri" w:hAnsi="Calibri" w:cs="Calibri"/>
          <w:color w:val="000000" w:themeColor="text1"/>
          <w:lang w:val="en-GB" w:eastAsia="da-DK"/>
        </w:rPr>
        <w:t xml:space="preserve">The plan provides a </w:t>
      </w:r>
      <w:r w:rsidR="00980823">
        <w:rPr>
          <w:rFonts w:ascii="Calibri" w:hAnsi="Calibri" w:cs="Calibri"/>
          <w:color w:val="000000" w:themeColor="text1"/>
          <w:lang w:val="en-GB" w:eastAsia="da-DK"/>
        </w:rPr>
        <w:t xml:space="preserve">valuable </w:t>
      </w:r>
      <w:r>
        <w:rPr>
          <w:rFonts w:ascii="Calibri" w:hAnsi="Calibri" w:cs="Calibri"/>
          <w:color w:val="000000" w:themeColor="text1"/>
          <w:lang w:val="en-GB" w:eastAsia="da-DK"/>
        </w:rPr>
        <w:t>tool</w:t>
      </w:r>
      <w:r w:rsidR="00980823">
        <w:rPr>
          <w:rFonts w:ascii="Calibri" w:hAnsi="Calibri" w:cs="Calibri"/>
          <w:color w:val="000000" w:themeColor="text1"/>
          <w:lang w:val="en-GB" w:eastAsia="da-DK"/>
        </w:rPr>
        <w:t xml:space="preserve"> for the recording of planning activities there is a need for follow up reviews to confirm their actual implementation. </w:t>
      </w:r>
    </w:p>
    <w:p w14:paraId="5918B1AA" w14:textId="57D50A85" w:rsidR="00980823" w:rsidRPr="00597484" w:rsidRDefault="00597484" w:rsidP="00597484">
      <w:pPr>
        <w:pStyle w:val="ListParagraph"/>
        <w:numPr>
          <w:ilvl w:val="0"/>
          <w:numId w:val="10"/>
        </w:numPr>
        <w:shd w:val="clear" w:color="auto" w:fill="FFFFFF"/>
        <w:spacing w:after="120" w:line="276" w:lineRule="auto"/>
        <w:rPr>
          <w:rFonts w:ascii="Calibri" w:hAnsi="Calibri" w:cs="Calibri"/>
          <w:b/>
          <w:bCs/>
          <w:color w:val="000000" w:themeColor="text1"/>
          <w:lang w:val="en-GB" w:eastAsia="da-DK"/>
        </w:rPr>
      </w:pPr>
      <w:r>
        <w:rPr>
          <w:rFonts w:ascii="Calibri" w:hAnsi="Calibri" w:cs="Calibri"/>
          <w:color w:val="000000" w:themeColor="text1"/>
          <w:lang w:val="en-GB" w:eastAsia="da-DK"/>
        </w:rPr>
        <w:t xml:space="preserve">The document could include a process plan describing the stages in its completing, approval and monitoring. </w:t>
      </w:r>
    </w:p>
    <w:p w14:paraId="2301759F" w14:textId="77777777" w:rsidR="00597484" w:rsidRPr="00597484" w:rsidRDefault="00597484" w:rsidP="00597484">
      <w:pPr>
        <w:pStyle w:val="ListParagraph"/>
        <w:shd w:val="clear" w:color="auto" w:fill="FFFFFF"/>
        <w:spacing w:after="120" w:line="276" w:lineRule="auto"/>
        <w:rPr>
          <w:rFonts w:ascii="Calibri" w:hAnsi="Calibri" w:cs="Calibri"/>
          <w:b/>
          <w:bCs/>
          <w:color w:val="000000" w:themeColor="text1"/>
          <w:lang w:val="en-GB" w:eastAsia="da-DK"/>
        </w:rPr>
      </w:pPr>
    </w:p>
    <w:p w14:paraId="13CE84C4" w14:textId="27E59DF3" w:rsidR="002B4DB7" w:rsidRPr="00980823" w:rsidRDefault="00CF0B66" w:rsidP="00980823">
      <w:pPr>
        <w:pBdr>
          <w:bottom w:val="single" w:sz="4" w:space="1" w:color="auto"/>
        </w:pBdr>
        <w:shd w:val="clear" w:color="auto" w:fill="FFFFFF"/>
        <w:spacing w:after="120" w:line="276" w:lineRule="auto"/>
        <w:rPr>
          <w:rFonts w:asciiTheme="minorHAnsi" w:hAnsiTheme="minorHAnsi" w:cstheme="minorHAnsi"/>
          <w:b/>
          <w:bCs/>
          <w:color w:val="000000" w:themeColor="text1"/>
          <w:lang w:eastAsia="da-DK"/>
        </w:rPr>
      </w:pPr>
      <w:r w:rsidRPr="00980823">
        <w:rPr>
          <w:rFonts w:asciiTheme="minorHAnsi" w:hAnsiTheme="minorHAnsi" w:cstheme="minorHAnsi"/>
          <w:b/>
          <w:bCs/>
        </w:rPr>
        <w:t>Source:</w:t>
      </w:r>
    </w:p>
    <w:p w14:paraId="6BC0B380" w14:textId="01B59A5F" w:rsidR="009610EA" w:rsidRPr="00110E3F" w:rsidRDefault="00CA445B" w:rsidP="00110E3F">
      <w:pPr>
        <w:pStyle w:val="ListParagraph"/>
        <w:numPr>
          <w:ilvl w:val="0"/>
          <w:numId w:val="12"/>
        </w:numPr>
        <w:spacing w:line="276" w:lineRule="auto"/>
        <w:rPr>
          <w:lang w:val="en-GB"/>
        </w:rPr>
      </w:pPr>
      <w:r w:rsidRPr="00777E8F">
        <w:rPr>
          <w:lang w:val="en-US"/>
        </w:rPr>
        <w:t xml:space="preserve">Namibia </w:t>
      </w:r>
      <w:hyperlink r:id="rId9" w:history="1">
        <w:r w:rsidRPr="00110E3F">
          <w:rPr>
            <w:rStyle w:val="Hyperlink"/>
            <w:lang w:val="en-GB"/>
          </w:rPr>
          <w:t>https://www.giz.de/en/worldwide/323.html</w:t>
        </w:r>
      </w:hyperlink>
      <w:r w:rsidR="00D449BC" w:rsidRPr="00777E8F">
        <w:rPr>
          <w:lang w:val="en-US"/>
        </w:rPr>
        <w:t xml:space="preserve">, GIZ, </w:t>
      </w:r>
      <w:r w:rsidRPr="00777E8F">
        <w:rPr>
          <w:lang w:val="en-US"/>
        </w:rPr>
        <w:t>(last accessed 01.07.22)</w:t>
      </w:r>
    </w:p>
    <w:p w14:paraId="549FC7A0" w14:textId="41D9BEB4" w:rsidR="005F47EB" w:rsidRDefault="005F47EB" w:rsidP="00EB572E">
      <w:pPr>
        <w:pStyle w:val="ListParagraph"/>
        <w:numPr>
          <w:ilvl w:val="0"/>
          <w:numId w:val="12"/>
        </w:numPr>
        <w:spacing w:line="276" w:lineRule="auto"/>
        <w:rPr>
          <w:lang w:val="en-GB"/>
        </w:rPr>
      </w:pPr>
      <w:r w:rsidRPr="009C1120">
        <w:rPr>
          <w:lang w:val="en-GB"/>
        </w:rPr>
        <w:t>National Technical, Vocational Education and Training Policy (MHETI 2021)</w:t>
      </w:r>
    </w:p>
    <w:p w14:paraId="5975DCE6" w14:textId="29E66C8C" w:rsidR="004004C9" w:rsidRPr="009C1120" w:rsidRDefault="004004C9" w:rsidP="00EB572E">
      <w:pPr>
        <w:pStyle w:val="ListParagraph"/>
        <w:numPr>
          <w:ilvl w:val="0"/>
          <w:numId w:val="12"/>
        </w:numPr>
        <w:spacing w:line="276" w:lineRule="auto"/>
        <w:rPr>
          <w:lang w:val="en-GB"/>
        </w:rPr>
      </w:pPr>
      <w:r>
        <w:rPr>
          <w:lang w:val="en-GB"/>
        </w:rPr>
        <w:t>National Training Authority ‘Funding Agreement’ (Annexure D ‘Training Implementation Plan for Agra Limited’</w:t>
      </w:r>
      <w:r w:rsidR="00980823">
        <w:rPr>
          <w:lang w:val="en-GB"/>
        </w:rPr>
        <w:t>)</w:t>
      </w:r>
    </w:p>
    <w:p w14:paraId="4E0AD79D" w14:textId="5B6906F5" w:rsidR="009610EA" w:rsidRPr="009C1120" w:rsidRDefault="00E76ED2" w:rsidP="00EB572E">
      <w:pPr>
        <w:pStyle w:val="ListParagraph"/>
        <w:numPr>
          <w:ilvl w:val="0"/>
          <w:numId w:val="12"/>
        </w:numPr>
        <w:spacing w:line="276" w:lineRule="auto"/>
        <w:rPr>
          <w:lang w:val="en-GB"/>
        </w:rPr>
      </w:pPr>
      <w:r w:rsidRPr="009C1120">
        <w:rPr>
          <w:lang w:val="en-GB"/>
        </w:rPr>
        <w:t>Procedures and guidelines for the implementation of work-integrated learning policy in TVET (NTA 2020)</w:t>
      </w:r>
    </w:p>
    <w:p w14:paraId="0C1726BE" w14:textId="44F68F19" w:rsidR="009610EA" w:rsidRDefault="005F47EB" w:rsidP="00EB572E">
      <w:pPr>
        <w:pStyle w:val="ListParagraph"/>
        <w:numPr>
          <w:ilvl w:val="0"/>
          <w:numId w:val="12"/>
        </w:numPr>
        <w:spacing w:line="276" w:lineRule="auto"/>
        <w:rPr>
          <w:lang w:val="en-GB"/>
        </w:rPr>
      </w:pPr>
      <w:r w:rsidRPr="009C1120">
        <w:rPr>
          <w:lang w:val="en-GB"/>
        </w:rPr>
        <w:t xml:space="preserve">TVET, Higher Education and Innovation Namibia (UNESCO 2016) </w:t>
      </w:r>
      <w:hyperlink r:id="rId10" w:history="1">
        <w:r w:rsidRPr="009C1120">
          <w:rPr>
            <w:rStyle w:val="Hyperlink"/>
            <w:lang w:val="en-GB"/>
          </w:rPr>
          <w:t>https://unesdoc.unesco.org/ark:/48223/pf0000245818</w:t>
        </w:r>
      </w:hyperlink>
      <w:r w:rsidR="009610EA" w:rsidRPr="009C1120">
        <w:rPr>
          <w:lang w:val="en-GB"/>
        </w:rPr>
        <w:t xml:space="preserve">  </w:t>
      </w:r>
      <w:r w:rsidRPr="009C1120">
        <w:rPr>
          <w:lang w:val="en-GB"/>
        </w:rPr>
        <w:t>(last accessed 01.07.22)</w:t>
      </w:r>
    </w:p>
    <w:p w14:paraId="41DC7E0F" w14:textId="76CCC7D2" w:rsidR="00D449BC" w:rsidRPr="00D449BC" w:rsidRDefault="00D449BC" w:rsidP="00EB572E">
      <w:pPr>
        <w:pStyle w:val="ListParagraph"/>
        <w:numPr>
          <w:ilvl w:val="0"/>
          <w:numId w:val="12"/>
        </w:numPr>
        <w:spacing w:line="276" w:lineRule="auto"/>
        <w:rPr>
          <w:lang w:val="en-GB"/>
        </w:rPr>
      </w:pPr>
      <w:r w:rsidRPr="006715BA">
        <w:rPr>
          <w:lang w:val="en-US"/>
        </w:rPr>
        <w:t>Work Integrated Learning (WIL) (NTA 20</w:t>
      </w:r>
      <w:r w:rsidR="00424251" w:rsidRPr="006715BA">
        <w:rPr>
          <w:lang w:val="en-US"/>
        </w:rPr>
        <w:t>19</w:t>
      </w:r>
      <w:r w:rsidRPr="006715BA">
        <w:rPr>
          <w:lang w:val="en-US"/>
        </w:rPr>
        <w:t>)</w:t>
      </w:r>
    </w:p>
    <w:p w14:paraId="581905E0" w14:textId="297135D9" w:rsidR="000F50FA" w:rsidRPr="009C1120" w:rsidRDefault="001C6B9B" w:rsidP="00EB572E">
      <w:pPr>
        <w:pStyle w:val="ListParagraph"/>
        <w:numPr>
          <w:ilvl w:val="0"/>
          <w:numId w:val="12"/>
        </w:numPr>
        <w:spacing w:line="276" w:lineRule="auto"/>
        <w:rPr>
          <w:lang w:val="en-GB"/>
        </w:rPr>
      </w:pPr>
      <w:r w:rsidRPr="009C1120">
        <w:rPr>
          <w:lang w:val="en-US"/>
        </w:rPr>
        <w:t xml:space="preserve">World TVET Database, Namibia (UNEVCO 2015) </w:t>
      </w:r>
      <w:hyperlink r:id="rId11" w:history="1">
        <w:r w:rsidRPr="009C1120">
          <w:rPr>
            <w:rStyle w:val="Hyperlink"/>
            <w:lang w:val="en-GB"/>
          </w:rPr>
          <w:t>https://unevoc.unesco.org/wtdb/worldtvetdatabase_nam_en.pdf</w:t>
        </w:r>
      </w:hyperlink>
      <w:r w:rsidRPr="009C1120">
        <w:rPr>
          <w:lang w:val="en-GB"/>
        </w:rPr>
        <w:t xml:space="preserve"> (last accessed 01.07.22)</w:t>
      </w:r>
    </w:p>
    <w:sectPr w:rsidR="000F50FA" w:rsidRPr="009C1120">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B736" w14:textId="77777777" w:rsidR="00DD1ABA" w:rsidRDefault="00DD1ABA">
      <w:r>
        <w:separator/>
      </w:r>
    </w:p>
  </w:endnote>
  <w:endnote w:type="continuationSeparator" w:id="0">
    <w:p w14:paraId="4793F8A2" w14:textId="77777777" w:rsidR="00DD1ABA" w:rsidRDefault="00DD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169744"/>
      <w:docPartObj>
        <w:docPartGallery w:val="Page Numbers (Bottom of Page)"/>
        <w:docPartUnique/>
      </w:docPartObj>
    </w:sdtPr>
    <w:sdtEndPr/>
    <w:sdtContent>
      <w:p w14:paraId="3B663F25" w14:textId="64B9E114" w:rsidR="00EC5904" w:rsidRDefault="00CF0B66">
        <w:pPr>
          <w:pStyle w:val="Footer"/>
          <w:jc w:val="center"/>
        </w:pPr>
        <w:r>
          <w:fldChar w:fldCharType="begin"/>
        </w:r>
        <w:r>
          <w:instrText>PAGE   \* MERGEFORMAT</w:instrText>
        </w:r>
        <w:r>
          <w:fldChar w:fldCharType="separate"/>
        </w:r>
        <w:r w:rsidR="00A00EEE">
          <w:rPr>
            <w:noProof/>
          </w:rPr>
          <w:t>1</w:t>
        </w:r>
        <w:r>
          <w:fldChar w:fldCharType="end"/>
        </w:r>
      </w:p>
    </w:sdtContent>
  </w:sdt>
  <w:p w14:paraId="5C914FD9" w14:textId="77777777" w:rsidR="00EC5904" w:rsidRDefault="00EC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49676" w14:textId="77777777" w:rsidR="00DD1ABA" w:rsidRDefault="00DD1ABA">
      <w:r>
        <w:separator/>
      </w:r>
    </w:p>
  </w:footnote>
  <w:footnote w:type="continuationSeparator" w:id="0">
    <w:p w14:paraId="59267176" w14:textId="77777777" w:rsidR="00DD1ABA" w:rsidRDefault="00DD1ABA">
      <w:r>
        <w:continuationSeparator/>
      </w:r>
    </w:p>
  </w:footnote>
  <w:footnote w:id="1">
    <w:p w14:paraId="1B83FC94" w14:textId="137BA308" w:rsidR="00F44063" w:rsidRPr="00340CE6" w:rsidRDefault="00F44063" w:rsidP="00F44063">
      <w:pPr>
        <w:pStyle w:val="FootnoteText"/>
        <w:rPr>
          <w:rFonts w:cstheme="minorHAnsi"/>
          <w:sz w:val="16"/>
          <w:szCs w:val="16"/>
          <w:lang w:val="en-GB"/>
        </w:rPr>
      </w:pPr>
      <w:r w:rsidRPr="00340CE6">
        <w:rPr>
          <w:rStyle w:val="FootnoteReference"/>
          <w:rFonts w:cstheme="minorHAnsi"/>
          <w:sz w:val="16"/>
          <w:szCs w:val="16"/>
          <w:lang w:val="en-GB"/>
        </w:rPr>
        <w:footnoteRef/>
      </w:r>
      <w:r w:rsidRPr="00340CE6">
        <w:rPr>
          <w:rFonts w:cstheme="minorHAnsi"/>
          <w:sz w:val="16"/>
          <w:szCs w:val="16"/>
          <w:lang w:val="en-GB"/>
        </w:rPr>
        <w:t xml:space="preserve"> Throughout this paper, the African Union abbreviation – Namibia – will be used.</w:t>
      </w:r>
    </w:p>
  </w:footnote>
  <w:footnote w:id="2">
    <w:p w14:paraId="192A3071" w14:textId="1A2C1532" w:rsidR="004547A3" w:rsidRPr="004547A3" w:rsidRDefault="004547A3">
      <w:pPr>
        <w:pStyle w:val="FootnoteText"/>
        <w:rPr>
          <w:lang w:val="en-US"/>
        </w:rPr>
      </w:pPr>
      <w:r>
        <w:rPr>
          <w:rStyle w:val="FootnoteReference"/>
        </w:rPr>
        <w:footnoteRef/>
      </w:r>
      <w:r w:rsidRPr="004547A3">
        <w:rPr>
          <w:lang w:val="en-US"/>
        </w:rPr>
        <w:t xml:space="preserve"> </w:t>
      </w:r>
      <w:r w:rsidRPr="004547A3">
        <w:rPr>
          <w:rFonts w:cstheme="minorHAnsi"/>
          <w:sz w:val="16"/>
          <w:szCs w:val="16"/>
          <w:lang w:val="en-US"/>
        </w:rPr>
        <w:t>Disclaimer: This publication was produced with the financial support of the European Union and the German Federal Ministry for Economic Cooperation and Development. The views and opinions expressed herein are those of the authors or persons cited and do not necessarily reflect the official policy, view or position of AUDA-NEPAD, the European Union or the German Federal Ministry for Economic Cooperation and Development. The terms used herein and the presentation of material therein do not imply any endorsement by AUDA-NPAD, the European Union or the German Federal Ministry for Economic Cooperation and Development. Information in this book is offered in the understanding that it does not contain legal, financial or other forms of professional advice. Although the author has made great efforts to ensure the accuracy of the content, errors and omissions may occur.</w:t>
      </w:r>
    </w:p>
  </w:footnote>
  <w:footnote w:id="3">
    <w:p w14:paraId="1F1B5155" w14:textId="3B83C291" w:rsidR="00DD3228" w:rsidRPr="00340CE6" w:rsidRDefault="00DD3228">
      <w:pPr>
        <w:pStyle w:val="FootnoteText"/>
        <w:rPr>
          <w:sz w:val="16"/>
          <w:szCs w:val="16"/>
          <w:lang w:val="en-GB"/>
        </w:rPr>
      </w:pPr>
      <w:r w:rsidRPr="00340CE6">
        <w:rPr>
          <w:rStyle w:val="FootnoteReference"/>
          <w:sz w:val="16"/>
          <w:szCs w:val="16"/>
          <w:lang w:val="en-GB"/>
        </w:rPr>
        <w:footnoteRef/>
      </w:r>
      <w:r w:rsidRPr="00340CE6">
        <w:rPr>
          <w:sz w:val="16"/>
          <w:szCs w:val="16"/>
          <w:lang w:val="en-GB"/>
        </w:rPr>
        <w:t xml:space="preserve"> Namibian TVET sector uses the term ‘Work-integrated learning’ to describe work-based learning models</w:t>
      </w:r>
      <w:r w:rsidR="004558AF">
        <w:rPr>
          <w:sz w:val="16"/>
          <w:szCs w:val="16"/>
          <w:lang w:val="en-GB"/>
        </w:rPr>
        <w:t xml:space="preserve"> which will be applied in this report </w:t>
      </w:r>
    </w:p>
  </w:footnote>
  <w:footnote w:id="4">
    <w:p w14:paraId="00D7ACF4" w14:textId="31F5024D" w:rsidR="00980823" w:rsidRPr="00980823" w:rsidRDefault="00980823" w:rsidP="00980823">
      <w:pPr>
        <w:spacing w:line="276" w:lineRule="auto"/>
        <w:rPr>
          <w:sz w:val="16"/>
          <w:szCs w:val="16"/>
        </w:rPr>
      </w:pPr>
      <w:r w:rsidRPr="00980823">
        <w:rPr>
          <w:rStyle w:val="FootnoteReference"/>
          <w:sz w:val="16"/>
          <w:szCs w:val="16"/>
        </w:rPr>
        <w:footnoteRef/>
      </w:r>
      <w:r w:rsidRPr="00980823">
        <w:rPr>
          <w:sz w:val="16"/>
          <w:szCs w:val="16"/>
        </w:rPr>
        <w:t xml:space="preserve"> National Training Authority ‘Funding Agreement’ (Annexure D ‘Training Implementation Plan for Agra Limited’)</w:t>
      </w:r>
    </w:p>
  </w:footnote>
  <w:footnote w:id="5">
    <w:p w14:paraId="40D69970" w14:textId="413A0E08" w:rsidR="00DA4CC6" w:rsidRPr="000417E0" w:rsidRDefault="00DA4CC6">
      <w:pPr>
        <w:pStyle w:val="FootnoteText"/>
        <w:rPr>
          <w:sz w:val="16"/>
          <w:szCs w:val="16"/>
          <w:lang w:val="de-DE"/>
        </w:rPr>
      </w:pPr>
      <w:r w:rsidRPr="00340CE6">
        <w:rPr>
          <w:rStyle w:val="FootnoteReference"/>
          <w:sz w:val="16"/>
          <w:szCs w:val="16"/>
          <w:lang w:val="en-GB"/>
        </w:rPr>
        <w:footnoteRef/>
      </w:r>
      <w:r w:rsidRPr="000417E0">
        <w:rPr>
          <w:sz w:val="16"/>
          <w:szCs w:val="16"/>
          <w:lang w:val="de-DE"/>
        </w:rPr>
        <w:t xml:space="preserve"> GIZ Namibia </w:t>
      </w:r>
      <w:hyperlink r:id="rId1" w:history="1">
        <w:r w:rsidR="00CA445B" w:rsidRPr="000417E0">
          <w:rPr>
            <w:rStyle w:val="Hyperlink"/>
            <w:sz w:val="16"/>
            <w:szCs w:val="16"/>
            <w:lang w:val="de-DE"/>
          </w:rPr>
          <w:t>https://www.giz.de/en/worldwide/323.html</w:t>
        </w:r>
      </w:hyperlink>
      <w:r w:rsidR="00CA445B" w:rsidRPr="000417E0">
        <w:rPr>
          <w:sz w:val="16"/>
          <w:szCs w:val="16"/>
          <w:lang w:val="de-DE"/>
        </w:rPr>
        <w:t xml:space="preserve"> </w:t>
      </w:r>
    </w:p>
  </w:footnote>
  <w:footnote w:id="6">
    <w:p w14:paraId="2E2A0DE0" w14:textId="4A7BF31B" w:rsidR="005D22E8" w:rsidRPr="00340CE6" w:rsidRDefault="005D22E8">
      <w:pPr>
        <w:pStyle w:val="FootnoteText"/>
        <w:rPr>
          <w:sz w:val="16"/>
          <w:szCs w:val="16"/>
          <w:lang w:val="en-GB"/>
        </w:rPr>
      </w:pPr>
      <w:r w:rsidRPr="00340CE6">
        <w:rPr>
          <w:rStyle w:val="FootnoteReference"/>
          <w:sz w:val="16"/>
          <w:szCs w:val="16"/>
          <w:lang w:val="en-GB"/>
        </w:rPr>
        <w:footnoteRef/>
      </w:r>
      <w:r w:rsidRPr="00340CE6">
        <w:rPr>
          <w:sz w:val="16"/>
          <w:szCs w:val="16"/>
          <w:lang w:val="en-GB"/>
        </w:rPr>
        <w:t xml:space="preserve"> National Technical, Vocational Education and Training Policy (MHETI 2021)</w:t>
      </w:r>
    </w:p>
  </w:footnote>
  <w:footnote w:id="7">
    <w:p w14:paraId="421E37BE" w14:textId="7E69AC33" w:rsidR="005D22E8" w:rsidRPr="00340CE6" w:rsidRDefault="005D22E8">
      <w:pPr>
        <w:pStyle w:val="FootnoteText"/>
        <w:rPr>
          <w:sz w:val="16"/>
          <w:szCs w:val="16"/>
          <w:lang w:val="en-GB"/>
        </w:rPr>
      </w:pPr>
      <w:r w:rsidRPr="00340CE6">
        <w:rPr>
          <w:rStyle w:val="FootnoteReference"/>
          <w:sz w:val="16"/>
          <w:szCs w:val="16"/>
          <w:lang w:val="en-GB"/>
        </w:rPr>
        <w:footnoteRef/>
      </w:r>
      <w:r w:rsidRPr="00340CE6">
        <w:rPr>
          <w:sz w:val="16"/>
          <w:szCs w:val="16"/>
          <w:lang w:val="en-GB"/>
        </w:rPr>
        <w:t xml:space="preserve"> Procedures and guidelines for the</w:t>
      </w:r>
      <w:r w:rsidR="00ED2152" w:rsidRPr="00340CE6">
        <w:rPr>
          <w:sz w:val="16"/>
          <w:szCs w:val="16"/>
          <w:lang w:val="en-GB"/>
        </w:rPr>
        <w:t xml:space="preserve"> </w:t>
      </w:r>
      <w:r w:rsidRPr="00340CE6">
        <w:rPr>
          <w:sz w:val="16"/>
          <w:szCs w:val="16"/>
          <w:lang w:val="en-GB"/>
        </w:rPr>
        <w:t>impl</w:t>
      </w:r>
      <w:r w:rsidR="00ED2152" w:rsidRPr="00340CE6">
        <w:rPr>
          <w:sz w:val="16"/>
          <w:szCs w:val="16"/>
          <w:lang w:val="en-GB"/>
        </w:rPr>
        <w:t>e</w:t>
      </w:r>
      <w:r w:rsidRPr="00340CE6">
        <w:rPr>
          <w:sz w:val="16"/>
          <w:szCs w:val="16"/>
          <w:lang w:val="en-GB"/>
        </w:rPr>
        <w:t xml:space="preserve">mentation </w:t>
      </w:r>
      <w:r w:rsidR="00ED2152" w:rsidRPr="00340CE6">
        <w:rPr>
          <w:sz w:val="16"/>
          <w:szCs w:val="16"/>
          <w:lang w:val="en-GB"/>
        </w:rPr>
        <w:t>of work-integrated learning policy in TVET (NTA 2020)</w:t>
      </w:r>
    </w:p>
  </w:footnote>
  <w:footnote w:id="8">
    <w:p w14:paraId="5E4C2523" w14:textId="1EC78EBC" w:rsidR="00F44063" w:rsidRPr="00340CE6" w:rsidRDefault="00F44063">
      <w:pPr>
        <w:pStyle w:val="FootnoteText"/>
        <w:rPr>
          <w:rFonts w:cstheme="minorHAnsi"/>
          <w:sz w:val="16"/>
          <w:szCs w:val="16"/>
          <w:lang w:val="en-GB"/>
        </w:rPr>
      </w:pPr>
      <w:r w:rsidRPr="00340CE6">
        <w:rPr>
          <w:rStyle w:val="FootnoteReference"/>
          <w:rFonts w:cstheme="minorHAnsi"/>
          <w:sz w:val="16"/>
          <w:szCs w:val="16"/>
        </w:rPr>
        <w:footnoteRef/>
      </w:r>
      <w:r w:rsidRPr="009C1120">
        <w:rPr>
          <w:rFonts w:cstheme="minorHAnsi"/>
          <w:sz w:val="16"/>
          <w:szCs w:val="16"/>
          <w:lang w:val="en-US"/>
        </w:rPr>
        <w:t xml:space="preserve"> </w:t>
      </w:r>
      <w:r w:rsidR="00340CE6" w:rsidRPr="00340CE6">
        <w:rPr>
          <w:rFonts w:eastAsia="Times New Roman" w:cstheme="minorHAnsi"/>
          <w:sz w:val="16"/>
          <w:szCs w:val="16"/>
          <w:lang w:val="en-GB" w:eastAsia="en-GB"/>
        </w:rPr>
        <w:t xml:space="preserve">Namibia Training Authority (NTA) national agency tasked with the responsibility of developing an efficient, effective and sustainable TVET system </w:t>
      </w:r>
    </w:p>
  </w:footnote>
  <w:footnote w:id="9">
    <w:p w14:paraId="10ABB323" w14:textId="31D8D8EA" w:rsidR="00AB1202" w:rsidRPr="00AB1202" w:rsidRDefault="00AB1202">
      <w:pPr>
        <w:pStyle w:val="FootnoteText"/>
        <w:rPr>
          <w:lang w:val="en-GB"/>
        </w:rPr>
      </w:pPr>
      <w:r w:rsidRPr="00340CE6">
        <w:rPr>
          <w:rStyle w:val="FootnoteReference"/>
          <w:sz w:val="16"/>
          <w:szCs w:val="16"/>
        </w:rPr>
        <w:footnoteRef/>
      </w:r>
      <w:r w:rsidRPr="009C1120">
        <w:rPr>
          <w:sz w:val="16"/>
          <w:szCs w:val="16"/>
          <w:lang w:val="en-US"/>
        </w:rPr>
        <w:t xml:space="preserve"> </w:t>
      </w:r>
      <w:r w:rsidR="00340CE6" w:rsidRPr="00340CE6">
        <w:rPr>
          <w:sz w:val="16"/>
          <w:szCs w:val="16"/>
          <w:lang w:val="en-GB"/>
        </w:rPr>
        <w:t>Procedures and guidelines for the implementation of work-integrated learning policy in TVET (NTA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33D7" w14:textId="638F08F4" w:rsidR="00D2232D" w:rsidRPr="00D2232D" w:rsidRDefault="00D2232D">
    <w:pPr>
      <w:pStyle w:val="Header"/>
      <w:rPr>
        <w:i/>
        <w:iCs/>
        <w:sz w:val="18"/>
        <w:szCs w:val="18"/>
        <w:lang w:val="en-GB"/>
      </w:rPr>
    </w:pPr>
    <w:r w:rsidRPr="00D2232D">
      <w:rPr>
        <w:i/>
        <w:iCs/>
        <w:sz w:val="18"/>
        <w:szCs w:val="18"/>
        <w:lang w:val="en-GB"/>
      </w:rPr>
      <w:t>NTA Training Implementation Plan</w:t>
    </w:r>
  </w:p>
  <w:p w14:paraId="2338FF06" w14:textId="054C0FF1" w:rsidR="00EC6998" w:rsidRDefault="00EC6998" w:rsidP="00EC69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968"/>
    <w:multiLevelType w:val="hybridMultilevel"/>
    <w:tmpl w:val="BC349CB0"/>
    <w:lvl w:ilvl="0" w:tplc="DFA2C97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B46CA"/>
    <w:multiLevelType w:val="hybridMultilevel"/>
    <w:tmpl w:val="D33062FA"/>
    <w:lvl w:ilvl="0" w:tplc="08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9E0546C"/>
    <w:multiLevelType w:val="hybridMultilevel"/>
    <w:tmpl w:val="F11E8A8C"/>
    <w:lvl w:ilvl="0" w:tplc="7646E190">
      <w:start w:val="1"/>
      <w:numFmt w:val="bullet"/>
      <w:lvlText w:val=""/>
      <w:lvlJc w:val="left"/>
      <w:pPr>
        <w:ind w:left="720" w:hanging="360"/>
      </w:pPr>
      <w:rPr>
        <w:rFonts w:ascii="Symbol" w:hAnsi="Symbol" w:hint="default"/>
      </w:rPr>
    </w:lvl>
    <w:lvl w:ilvl="1" w:tplc="CE8453F6" w:tentative="1">
      <w:start w:val="1"/>
      <w:numFmt w:val="bullet"/>
      <w:lvlText w:val="o"/>
      <w:lvlJc w:val="left"/>
      <w:pPr>
        <w:ind w:left="1440" w:hanging="360"/>
      </w:pPr>
      <w:rPr>
        <w:rFonts w:ascii="Courier New" w:hAnsi="Courier New" w:cs="Courier New" w:hint="default"/>
      </w:rPr>
    </w:lvl>
    <w:lvl w:ilvl="2" w:tplc="79ECBDC6" w:tentative="1">
      <w:start w:val="1"/>
      <w:numFmt w:val="bullet"/>
      <w:lvlText w:val=""/>
      <w:lvlJc w:val="left"/>
      <w:pPr>
        <w:ind w:left="2160" w:hanging="360"/>
      </w:pPr>
      <w:rPr>
        <w:rFonts w:ascii="Wingdings" w:hAnsi="Wingdings" w:hint="default"/>
      </w:rPr>
    </w:lvl>
    <w:lvl w:ilvl="3" w:tplc="D8BC623A" w:tentative="1">
      <w:start w:val="1"/>
      <w:numFmt w:val="bullet"/>
      <w:lvlText w:val=""/>
      <w:lvlJc w:val="left"/>
      <w:pPr>
        <w:ind w:left="2880" w:hanging="360"/>
      </w:pPr>
      <w:rPr>
        <w:rFonts w:ascii="Symbol" w:hAnsi="Symbol" w:hint="default"/>
      </w:rPr>
    </w:lvl>
    <w:lvl w:ilvl="4" w:tplc="B58EA0E4" w:tentative="1">
      <w:start w:val="1"/>
      <w:numFmt w:val="bullet"/>
      <w:lvlText w:val="o"/>
      <w:lvlJc w:val="left"/>
      <w:pPr>
        <w:ind w:left="3600" w:hanging="360"/>
      </w:pPr>
      <w:rPr>
        <w:rFonts w:ascii="Courier New" w:hAnsi="Courier New" w:cs="Courier New" w:hint="default"/>
      </w:rPr>
    </w:lvl>
    <w:lvl w:ilvl="5" w:tplc="D5B4E28C" w:tentative="1">
      <w:start w:val="1"/>
      <w:numFmt w:val="bullet"/>
      <w:lvlText w:val=""/>
      <w:lvlJc w:val="left"/>
      <w:pPr>
        <w:ind w:left="4320" w:hanging="360"/>
      </w:pPr>
      <w:rPr>
        <w:rFonts w:ascii="Wingdings" w:hAnsi="Wingdings" w:hint="default"/>
      </w:rPr>
    </w:lvl>
    <w:lvl w:ilvl="6" w:tplc="AA38B9BC" w:tentative="1">
      <w:start w:val="1"/>
      <w:numFmt w:val="bullet"/>
      <w:lvlText w:val=""/>
      <w:lvlJc w:val="left"/>
      <w:pPr>
        <w:ind w:left="5040" w:hanging="360"/>
      </w:pPr>
      <w:rPr>
        <w:rFonts w:ascii="Symbol" w:hAnsi="Symbol" w:hint="default"/>
      </w:rPr>
    </w:lvl>
    <w:lvl w:ilvl="7" w:tplc="06EA9B04" w:tentative="1">
      <w:start w:val="1"/>
      <w:numFmt w:val="bullet"/>
      <w:lvlText w:val="o"/>
      <w:lvlJc w:val="left"/>
      <w:pPr>
        <w:ind w:left="5760" w:hanging="360"/>
      </w:pPr>
      <w:rPr>
        <w:rFonts w:ascii="Courier New" w:hAnsi="Courier New" w:cs="Courier New" w:hint="default"/>
      </w:rPr>
    </w:lvl>
    <w:lvl w:ilvl="8" w:tplc="6D6ADC88" w:tentative="1">
      <w:start w:val="1"/>
      <w:numFmt w:val="bullet"/>
      <w:lvlText w:val=""/>
      <w:lvlJc w:val="left"/>
      <w:pPr>
        <w:ind w:left="6480" w:hanging="360"/>
      </w:pPr>
      <w:rPr>
        <w:rFonts w:ascii="Wingdings" w:hAnsi="Wingdings" w:hint="default"/>
      </w:rPr>
    </w:lvl>
  </w:abstractNum>
  <w:abstractNum w:abstractNumId="3" w15:restartNumberingAfterBreak="0">
    <w:nsid w:val="203543B4"/>
    <w:multiLevelType w:val="hybridMultilevel"/>
    <w:tmpl w:val="099AA2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121014C"/>
    <w:multiLevelType w:val="multilevel"/>
    <w:tmpl w:val="BB50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D66007"/>
    <w:multiLevelType w:val="hybridMultilevel"/>
    <w:tmpl w:val="8AAA0FF4"/>
    <w:lvl w:ilvl="0" w:tplc="C7DAB0E4">
      <w:start w:val="1"/>
      <w:numFmt w:val="decimal"/>
      <w:lvlText w:val="%1."/>
      <w:lvlJc w:val="left"/>
      <w:pPr>
        <w:ind w:left="720" w:hanging="360"/>
      </w:pPr>
    </w:lvl>
    <w:lvl w:ilvl="1" w:tplc="C640088A" w:tentative="1">
      <w:start w:val="1"/>
      <w:numFmt w:val="lowerLetter"/>
      <w:lvlText w:val="%2."/>
      <w:lvlJc w:val="left"/>
      <w:pPr>
        <w:ind w:left="1440" w:hanging="360"/>
      </w:pPr>
    </w:lvl>
    <w:lvl w:ilvl="2" w:tplc="E772ACCE" w:tentative="1">
      <w:start w:val="1"/>
      <w:numFmt w:val="lowerRoman"/>
      <w:lvlText w:val="%3."/>
      <w:lvlJc w:val="right"/>
      <w:pPr>
        <w:ind w:left="2160" w:hanging="180"/>
      </w:pPr>
    </w:lvl>
    <w:lvl w:ilvl="3" w:tplc="CF160548" w:tentative="1">
      <w:start w:val="1"/>
      <w:numFmt w:val="decimal"/>
      <w:lvlText w:val="%4."/>
      <w:lvlJc w:val="left"/>
      <w:pPr>
        <w:ind w:left="2880" w:hanging="360"/>
      </w:pPr>
    </w:lvl>
    <w:lvl w:ilvl="4" w:tplc="F8DA7E1A" w:tentative="1">
      <w:start w:val="1"/>
      <w:numFmt w:val="lowerLetter"/>
      <w:lvlText w:val="%5."/>
      <w:lvlJc w:val="left"/>
      <w:pPr>
        <w:ind w:left="3600" w:hanging="360"/>
      </w:pPr>
    </w:lvl>
    <w:lvl w:ilvl="5" w:tplc="30A48E66" w:tentative="1">
      <w:start w:val="1"/>
      <w:numFmt w:val="lowerRoman"/>
      <w:lvlText w:val="%6."/>
      <w:lvlJc w:val="right"/>
      <w:pPr>
        <w:ind w:left="4320" w:hanging="180"/>
      </w:pPr>
    </w:lvl>
    <w:lvl w:ilvl="6" w:tplc="4D30C30C" w:tentative="1">
      <w:start w:val="1"/>
      <w:numFmt w:val="decimal"/>
      <w:lvlText w:val="%7."/>
      <w:lvlJc w:val="left"/>
      <w:pPr>
        <w:ind w:left="5040" w:hanging="360"/>
      </w:pPr>
    </w:lvl>
    <w:lvl w:ilvl="7" w:tplc="3DD6A314" w:tentative="1">
      <w:start w:val="1"/>
      <w:numFmt w:val="lowerLetter"/>
      <w:lvlText w:val="%8."/>
      <w:lvlJc w:val="left"/>
      <w:pPr>
        <w:ind w:left="5760" w:hanging="360"/>
      </w:pPr>
    </w:lvl>
    <w:lvl w:ilvl="8" w:tplc="D7600E8E" w:tentative="1">
      <w:start w:val="1"/>
      <w:numFmt w:val="lowerRoman"/>
      <w:lvlText w:val="%9."/>
      <w:lvlJc w:val="right"/>
      <w:pPr>
        <w:ind w:left="6480" w:hanging="180"/>
      </w:pPr>
    </w:lvl>
  </w:abstractNum>
  <w:abstractNum w:abstractNumId="6" w15:restartNumberingAfterBreak="0">
    <w:nsid w:val="496D2114"/>
    <w:multiLevelType w:val="hybridMultilevel"/>
    <w:tmpl w:val="4E28C710"/>
    <w:lvl w:ilvl="0" w:tplc="2ADEE38E">
      <w:start w:val="1"/>
      <w:numFmt w:val="decimal"/>
      <w:lvlText w:val="%1."/>
      <w:lvlJc w:val="left"/>
      <w:pPr>
        <w:ind w:left="720" w:hanging="360"/>
      </w:pPr>
      <w:rPr>
        <w:rFonts w:hint="default"/>
      </w:rPr>
    </w:lvl>
    <w:lvl w:ilvl="1" w:tplc="3F2AAAD6" w:tentative="1">
      <w:start w:val="1"/>
      <w:numFmt w:val="lowerLetter"/>
      <w:lvlText w:val="%2."/>
      <w:lvlJc w:val="left"/>
      <w:pPr>
        <w:ind w:left="1440" w:hanging="360"/>
      </w:pPr>
    </w:lvl>
    <w:lvl w:ilvl="2" w:tplc="4296DB1E" w:tentative="1">
      <w:start w:val="1"/>
      <w:numFmt w:val="lowerRoman"/>
      <w:lvlText w:val="%3."/>
      <w:lvlJc w:val="right"/>
      <w:pPr>
        <w:ind w:left="2160" w:hanging="180"/>
      </w:pPr>
    </w:lvl>
    <w:lvl w:ilvl="3" w:tplc="C9A69DC6" w:tentative="1">
      <w:start w:val="1"/>
      <w:numFmt w:val="decimal"/>
      <w:lvlText w:val="%4."/>
      <w:lvlJc w:val="left"/>
      <w:pPr>
        <w:ind w:left="2880" w:hanging="360"/>
      </w:pPr>
    </w:lvl>
    <w:lvl w:ilvl="4" w:tplc="342A7B22" w:tentative="1">
      <w:start w:val="1"/>
      <w:numFmt w:val="lowerLetter"/>
      <w:lvlText w:val="%5."/>
      <w:lvlJc w:val="left"/>
      <w:pPr>
        <w:ind w:left="3600" w:hanging="360"/>
      </w:pPr>
    </w:lvl>
    <w:lvl w:ilvl="5" w:tplc="339A0E18" w:tentative="1">
      <w:start w:val="1"/>
      <w:numFmt w:val="lowerRoman"/>
      <w:lvlText w:val="%6."/>
      <w:lvlJc w:val="right"/>
      <w:pPr>
        <w:ind w:left="4320" w:hanging="180"/>
      </w:pPr>
    </w:lvl>
    <w:lvl w:ilvl="6" w:tplc="1DAA7E6A" w:tentative="1">
      <w:start w:val="1"/>
      <w:numFmt w:val="decimal"/>
      <w:lvlText w:val="%7."/>
      <w:lvlJc w:val="left"/>
      <w:pPr>
        <w:ind w:left="5040" w:hanging="360"/>
      </w:pPr>
    </w:lvl>
    <w:lvl w:ilvl="7" w:tplc="1E60C368" w:tentative="1">
      <w:start w:val="1"/>
      <w:numFmt w:val="lowerLetter"/>
      <w:lvlText w:val="%8."/>
      <w:lvlJc w:val="left"/>
      <w:pPr>
        <w:ind w:left="5760" w:hanging="360"/>
      </w:pPr>
    </w:lvl>
    <w:lvl w:ilvl="8" w:tplc="0C58D50C" w:tentative="1">
      <w:start w:val="1"/>
      <w:numFmt w:val="lowerRoman"/>
      <w:lvlText w:val="%9."/>
      <w:lvlJc w:val="right"/>
      <w:pPr>
        <w:ind w:left="6480" w:hanging="180"/>
      </w:pPr>
    </w:lvl>
  </w:abstractNum>
  <w:abstractNum w:abstractNumId="7" w15:restartNumberingAfterBreak="0">
    <w:nsid w:val="4CF641FE"/>
    <w:multiLevelType w:val="hybridMultilevel"/>
    <w:tmpl w:val="F3B62A56"/>
    <w:lvl w:ilvl="0" w:tplc="CE540A8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62283"/>
    <w:multiLevelType w:val="hybridMultilevel"/>
    <w:tmpl w:val="DF4CF134"/>
    <w:lvl w:ilvl="0" w:tplc="D7B0FFF0">
      <w:start w:val="1"/>
      <w:numFmt w:val="bullet"/>
      <w:lvlText w:val=""/>
      <w:lvlJc w:val="left"/>
      <w:pPr>
        <w:ind w:left="720" w:hanging="360"/>
      </w:pPr>
      <w:rPr>
        <w:rFonts w:ascii="Symbol" w:hAnsi="Symbol" w:hint="default"/>
      </w:rPr>
    </w:lvl>
    <w:lvl w:ilvl="1" w:tplc="5A96C65E" w:tentative="1">
      <w:start w:val="1"/>
      <w:numFmt w:val="bullet"/>
      <w:lvlText w:val="o"/>
      <w:lvlJc w:val="left"/>
      <w:pPr>
        <w:ind w:left="1440" w:hanging="360"/>
      </w:pPr>
      <w:rPr>
        <w:rFonts w:ascii="Courier New" w:hAnsi="Courier New" w:cs="Courier New" w:hint="default"/>
      </w:rPr>
    </w:lvl>
    <w:lvl w:ilvl="2" w:tplc="9DF2B77A" w:tentative="1">
      <w:start w:val="1"/>
      <w:numFmt w:val="bullet"/>
      <w:lvlText w:val=""/>
      <w:lvlJc w:val="left"/>
      <w:pPr>
        <w:ind w:left="2160" w:hanging="360"/>
      </w:pPr>
      <w:rPr>
        <w:rFonts w:ascii="Wingdings" w:hAnsi="Wingdings" w:hint="default"/>
      </w:rPr>
    </w:lvl>
    <w:lvl w:ilvl="3" w:tplc="7694675E" w:tentative="1">
      <w:start w:val="1"/>
      <w:numFmt w:val="bullet"/>
      <w:lvlText w:val=""/>
      <w:lvlJc w:val="left"/>
      <w:pPr>
        <w:ind w:left="2880" w:hanging="360"/>
      </w:pPr>
      <w:rPr>
        <w:rFonts w:ascii="Symbol" w:hAnsi="Symbol" w:hint="default"/>
      </w:rPr>
    </w:lvl>
    <w:lvl w:ilvl="4" w:tplc="ECE47382" w:tentative="1">
      <w:start w:val="1"/>
      <w:numFmt w:val="bullet"/>
      <w:lvlText w:val="o"/>
      <w:lvlJc w:val="left"/>
      <w:pPr>
        <w:ind w:left="3600" w:hanging="360"/>
      </w:pPr>
      <w:rPr>
        <w:rFonts w:ascii="Courier New" w:hAnsi="Courier New" w:cs="Courier New" w:hint="default"/>
      </w:rPr>
    </w:lvl>
    <w:lvl w:ilvl="5" w:tplc="CD329E54" w:tentative="1">
      <w:start w:val="1"/>
      <w:numFmt w:val="bullet"/>
      <w:lvlText w:val=""/>
      <w:lvlJc w:val="left"/>
      <w:pPr>
        <w:ind w:left="4320" w:hanging="360"/>
      </w:pPr>
      <w:rPr>
        <w:rFonts w:ascii="Wingdings" w:hAnsi="Wingdings" w:hint="default"/>
      </w:rPr>
    </w:lvl>
    <w:lvl w:ilvl="6" w:tplc="98D23996" w:tentative="1">
      <w:start w:val="1"/>
      <w:numFmt w:val="bullet"/>
      <w:lvlText w:val=""/>
      <w:lvlJc w:val="left"/>
      <w:pPr>
        <w:ind w:left="5040" w:hanging="360"/>
      </w:pPr>
      <w:rPr>
        <w:rFonts w:ascii="Symbol" w:hAnsi="Symbol" w:hint="default"/>
      </w:rPr>
    </w:lvl>
    <w:lvl w:ilvl="7" w:tplc="A0B4B1FE" w:tentative="1">
      <w:start w:val="1"/>
      <w:numFmt w:val="bullet"/>
      <w:lvlText w:val="o"/>
      <w:lvlJc w:val="left"/>
      <w:pPr>
        <w:ind w:left="5760" w:hanging="360"/>
      </w:pPr>
      <w:rPr>
        <w:rFonts w:ascii="Courier New" w:hAnsi="Courier New" w:cs="Courier New" w:hint="default"/>
      </w:rPr>
    </w:lvl>
    <w:lvl w:ilvl="8" w:tplc="CE2CE2B2" w:tentative="1">
      <w:start w:val="1"/>
      <w:numFmt w:val="bullet"/>
      <w:lvlText w:val=""/>
      <w:lvlJc w:val="left"/>
      <w:pPr>
        <w:ind w:left="6480" w:hanging="360"/>
      </w:pPr>
      <w:rPr>
        <w:rFonts w:ascii="Wingdings" w:hAnsi="Wingdings" w:hint="default"/>
      </w:rPr>
    </w:lvl>
  </w:abstractNum>
  <w:abstractNum w:abstractNumId="9" w15:restartNumberingAfterBreak="0">
    <w:nsid w:val="5F8A74DA"/>
    <w:multiLevelType w:val="hybridMultilevel"/>
    <w:tmpl w:val="508C8C84"/>
    <w:lvl w:ilvl="0" w:tplc="9E84CC32">
      <w:start w:val="1"/>
      <w:numFmt w:val="bullet"/>
      <w:lvlText w:val=""/>
      <w:lvlJc w:val="left"/>
      <w:pPr>
        <w:ind w:left="720" w:hanging="360"/>
      </w:pPr>
      <w:rPr>
        <w:rFonts w:ascii="Symbol" w:hAnsi="Symbol" w:hint="default"/>
      </w:rPr>
    </w:lvl>
    <w:lvl w:ilvl="1" w:tplc="4052FF24" w:tentative="1">
      <w:start w:val="1"/>
      <w:numFmt w:val="bullet"/>
      <w:lvlText w:val="o"/>
      <w:lvlJc w:val="left"/>
      <w:pPr>
        <w:ind w:left="1440" w:hanging="360"/>
      </w:pPr>
      <w:rPr>
        <w:rFonts w:ascii="Courier New" w:hAnsi="Courier New" w:cs="Courier New" w:hint="default"/>
      </w:rPr>
    </w:lvl>
    <w:lvl w:ilvl="2" w:tplc="93A6CC94" w:tentative="1">
      <w:start w:val="1"/>
      <w:numFmt w:val="bullet"/>
      <w:lvlText w:val=""/>
      <w:lvlJc w:val="left"/>
      <w:pPr>
        <w:ind w:left="2160" w:hanging="360"/>
      </w:pPr>
      <w:rPr>
        <w:rFonts w:ascii="Wingdings" w:hAnsi="Wingdings" w:hint="default"/>
      </w:rPr>
    </w:lvl>
    <w:lvl w:ilvl="3" w:tplc="D1D8D0C0" w:tentative="1">
      <w:start w:val="1"/>
      <w:numFmt w:val="bullet"/>
      <w:lvlText w:val=""/>
      <w:lvlJc w:val="left"/>
      <w:pPr>
        <w:ind w:left="2880" w:hanging="360"/>
      </w:pPr>
      <w:rPr>
        <w:rFonts w:ascii="Symbol" w:hAnsi="Symbol" w:hint="default"/>
      </w:rPr>
    </w:lvl>
    <w:lvl w:ilvl="4" w:tplc="DF4CEB32" w:tentative="1">
      <w:start w:val="1"/>
      <w:numFmt w:val="bullet"/>
      <w:lvlText w:val="o"/>
      <w:lvlJc w:val="left"/>
      <w:pPr>
        <w:ind w:left="3600" w:hanging="360"/>
      </w:pPr>
      <w:rPr>
        <w:rFonts w:ascii="Courier New" w:hAnsi="Courier New" w:cs="Courier New" w:hint="default"/>
      </w:rPr>
    </w:lvl>
    <w:lvl w:ilvl="5" w:tplc="7C1486E6" w:tentative="1">
      <w:start w:val="1"/>
      <w:numFmt w:val="bullet"/>
      <w:lvlText w:val=""/>
      <w:lvlJc w:val="left"/>
      <w:pPr>
        <w:ind w:left="4320" w:hanging="360"/>
      </w:pPr>
      <w:rPr>
        <w:rFonts w:ascii="Wingdings" w:hAnsi="Wingdings" w:hint="default"/>
      </w:rPr>
    </w:lvl>
    <w:lvl w:ilvl="6" w:tplc="895C229A" w:tentative="1">
      <w:start w:val="1"/>
      <w:numFmt w:val="bullet"/>
      <w:lvlText w:val=""/>
      <w:lvlJc w:val="left"/>
      <w:pPr>
        <w:ind w:left="5040" w:hanging="360"/>
      </w:pPr>
      <w:rPr>
        <w:rFonts w:ascii="Symbol" w:hAnsi="Symbol" w:hint="default"/>
      </w:rPr>
    </w:lvl>
    <w:lvl w:ilvl="7" w:tplc="F482AB08" w:tentative="1">
      <w:start w:val="1"/>
      <w:numFmt w:val="bullet"/>
      <w:lvlText w:val="o"/>
      <w:lvlJc w:val="left"/>
      <w:pPr>
        <w:ind w:left="5760" w:hanging="360"/>
      </w:pPr>
      <w:rPr>
        <w:rFonts w:ascii="Courier New" w:hAnsi="Courier New" w:cs="Courier New" w:hint="default"/>
      </w:rPr>
    </w:lvl>
    <w:lvl w:ilvl="8" w:tplc="D7568D54" w:tentative="1">
      <w:start w:val="1"/>
      <w:numFmt w:val="bullet"/>
      <w:lvlText w:val=""/>
      <w:lvlJc w:val="left"/>
      <w:pPr>
        <w:ind w:left="6480" w:hanging="360"/>
      </w:pPr>
      <w:rPr>
        <w:rFonts w:ascii="Wingdings" w:hAnsi="Wingdings" w:hint="default"/>
      </w:rPr>
    </w:lvl>
  </w:abstractNum>
  <w:abstractNum w:abstractNumId="10" w15:restartNumberingAfterBreak="0">
    <w:nsid w:val="60A26630"/>
    <w:multiLevelType w:val="hybridMultilevel"/>
    <w:tmpl w:val="18026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AA017D"/>
    <w:multiLevelType w:val="hybridMultilevel"/>
    <w:tmpl w:val="89947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C2B6FB1"/>
    <w:multiLevelType w:val="hybridMultilevel"/>
    <w:tmpl w:val="6DAE3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11"/>
  </w:num>
  <w:num w:numId="6">
    <w:abstractNumId w:val="10"/>
  </w:num>
  <w:num w:numId="7">
    <w:abstractNumId w:val="3"/>
  </w:num>
  <w:num w:numId="8">
    <w:abstractNumId w:val="4"/>
  </w:num>
  <w:num w:numId="9">
    <w:abstractNumId w:val="0"/>
  </w:num>
  <w:num w:numId="10">
    <w:abstractNumId w:val="9"/>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D0"/>
    <w:rsid w:val="00000A48"/>
    <w:rsid w:val="00011458"/>
    <w:rsid w:val="000222BD"/>
    <w:rsid w:val="00032814"/>
    <w:rsid w:val="000417E0"/>
    <w:rsid w:val="00046FBE"/>
    <w:rsid w:val="000515E6"/>
    <w:rsid w:val="000557BD"/>
    <w:rsid w:val="00061C62"/>
    <w:rsid w:val="00064B7D"/>
    <w:rsid w:val="00067548"/>
    <w:rsid w:val="00091877"/>
    <w:rsid w:val="0009348D"/>
    <w:rsid w:val="000A3F44"/>
    <w:rsid w:val="000A4D8B"/>
    <w:rsid w:val="000A7B59"/>
    <w:rsid w:val="000B6496"/>
    <w:rsid w:val="000B7769"/>
    <w:rsid w:val="000C46C3"/>
    <w:rsid w:val="000C6877"/>
    <w:rsid w:val="000D5BCF"/>
    <w:rsid w:val="000D61FE"/>
    <w:rsid w:val="000E0E0F"/>
    <w:rsid w:val="000E22CF"/>
    <w:rsid w:val="000F50FA"/>
    <w:rsid w:val="00102A36"/>
    <w:rsid w:val="00110E3F"/>
    <w:rsid w:val="00111106"/>
    <w:rsid w:val="00120110"/>
    <w:rsid w:val="00133051"/>
    <w:rsid w:val="0014036C"/>
    <w:rsid w:val="00141654"/>
    <w:rsid w:val="0015090B"/>
    <w:rsid w:val="00151461"/>
    <w:rsid w:val="00155F79"/>
    <w:rsid w:val="00157E8F"/>
    <w:rsid w:val="001936FC"/>
    <w:rsid w:val="001B05BB"/>
    <w:rsid w:val="001C6B44"/>
    <w:rsid w:val="001C6B9B"/>
    <w:rsid w:val="001C7773"/>
    <w:rsid w:val="001D0BA5"/>
    <w:rsid w:val="001D2B1F"/>
    <w:rsid w:val="001D3B61"/>
    <w:rsid w:val="001D79DD"/>
    <w:rsid w:val="001E54F5"/>
    <w:rsid w:val="001E7477"/>
    <w:rsid w:val="002004F3"/>
    <w:rsid w:val="00203730"/>
    <w:rsid w:val="0020680A"/>
    <w:rsid w:val="002159E1"/>
    <w:rsid w:val="002215B5"/>
    <w:rsid w:val="002275DE"/>
    <w:rsid w:val="00232419"/>
    <w:rsid w:val="002410BB"/>
    <w:rsid w:val="0024390D"/>
    <w:rsid w:val="0025341E"/>
    <w:rsid w:val="0029196F"/>
    <w:rsid w:val="002B4DB7"/>
    <w:rsid w:val="002C1ADE"/>
    <w:rsid w:val="002C33B3"/>
    <w:rsid w:val="002D6326"/>
    <w:rsid w:val="002E11A3"/>
    <w:rsid w:val="002F2A98"/>
    <w:rsid w:val="002F56EE"/>
    <w:rsid w:val="003037EB"/>
    <w:rsid w:val="00321204"/>
    <w:rsid w:val="00333906"/>
    <w:rsid w:val="00335C6E"/>
    <w:rsid w:val="00340CE6"/>
    <w:rsid w:val="00343343"/>
    <w:rsid w:val="00345382"/>
    <w:rsid w:val="00366D09"/>
    <w:rsid w:val="003711F2"/>
    <w:rsid w:val="00372112"/>
    <w:rsid w:val="00375367"/>
    <w:rsid w:val="0038630B"/>
    <w:rsid w:val="003869C0"/>
    <w:rsid w:val="003946AE"/>
    <w:rsid w:val="003A31DF"/>
    <w:rsid w:val="003B12FF"/>
    <w:rsid w:val="003B5E2C"/>
    <w:rsid w:val="003D20FA"/>
    <w:rsid w:val="003D3F02"/>
    <w:rsid w:val="003F3688"/>
    <w:rsid w:val="004004C9"/>
    <w:rsid w:val="00424251"/>
    <w:rsid w:val="00427145"/>
    <w:rsid w:val="004305E0"/>
    <w:rsid w:val="00436C0E"/>
    <w:rsid w:val="004424B9"/>
    <w:rsid w:val="00445E72"/>
    <w:rsid w:val="004547A3"/>
    <w:rsid w:val="004558AF"/>
    <w:rsid w:val="00457CB5"/>
    <w:rsid w:val="00462314"/>
    <w:rsid w:val="00491855"/>
    <w:rsid w:val="004948FE"/>
    <w:rsid w:val="004B71F7"/>
    <w:rsid w:val="004D2A82"/>
    <w:rsid w:val="004E578C"/>
    <w:rsid w:val="004F0CE5"/>
    <w:rsid w:val="004F1E91"/>
    <w:rsid w:val="00506AD0"/>
    <w:rsid w:val="00507537"/>
    <w:rsid w:val="005076B3"/>
    <w:rsid w:val="005165B4"/>
    <w:rsid w:val="0052261C"/>
    <w:rsid w:val="00523A44"/>
    <w:rsid w:val="00542B39"/>
    <w:rsid w:val="0054578B"/>
    <w:rsid w:val="00545AC7"/>
    <w:rsid w:val="005477E8"/>
    <w:rsid w:val="00550462"/>
    <w:rsid w:val="0056467D"/>
    <w:rsid w:val="00580118"/>
    <w:rsid w:val="00591549"/>
    <w:rsid w:val="00592525"/>
    <w:rsid w:val="005945CE"/>
    <w:rsid w:val="00597484"/>
    <w:rsid w:val="005A5717"/>
    <w:rsid w:val="005A6200"/>
    <w:rsid w:val="005A6561"/>
    <w:rsid w:val="005A7ACB"/>
    <w:rsid w:val="005D22E8"/>
    <w:rsid w:val="005D6774"/>
    <w:rsid w:val="005F1F4B"/>
    <w:rsid w:val="005F2390"/>
    <w:rsid w:val="005F47EB"/>
    <w:rsid w:val="00602765"/>
    <w:rsid w:val="006045E3"/>
    <w:rsid w:val="00606265"/>
    <w:rsid w:val="00614C10"/>
    <w:rsid w:val="00624E9C"/>
    <w:rsid w:val="00626AC1"/>
    <w:rsid w:val="00633AC6"/>
    <w:rsid w:val="00651190"/>
    <w:rsid w:val="00661528"/>
    <w:rsid w:val="00667C11"/>
    <w:rsid w:val="006715BA"/>
    <w:rsid w:val="00674571"/>
    <w:rsid w:val="00691A22"/>
    <w:rsid w:val="006A16B6"/>
    <w:rsid w:val="006A63B8"/>
    <w:rsid w:val="006B6210"/>
    <w:rsid w:val="006B71D1"/>
    <w:rsid w:val="006D3159"/>
    <w:rsid w:val="006D7D7A"/>
    <w:rsid w:val="006E32FB"/>
    <w:rsid w:val="006E4844"/>
    <w:rsid w:val="006E6FD2"/>
    <w:rsid w:val="006F0253"/>
    <w:rsid w:val="006F337A"/>
    <w:rsid w:val="00715A76"/>
    <w:rsid w:val="00727DEE"/>
    <w:rsid w:val="007408E0"/>
    <w:rsid w:val="007569D2"/>
    <w:rsid w:val="00756C00"/>
    <w:rsid w:val="007642AC"/>
    <w:rsid w:val="00765C8C"/>
    <w:rsid w:val="0076666C"/>
    <w:rsid w:val="007720E6"/>
    <w:rsid w:val="00773492"/>
    <w:rsid w:val="0077549A"/>
    <w:rsid w:val="00777E8F"/>
    <w:rsid w:val="00792517"/>
    <w:rsid w:val="00797AC2"/>
    <w:rsid w:val="007B7334"/>
    <w:rsid w:val="007D1BD5"/>
    <w:rsid w:val="007E5174"/>
    <w:rsid w:val="00806C53"/>
    <w:rsid w:val="008121A4"/>
    <w:rsid w:val="008138DC"/>
    <w:rsid w:val="00815210"/>
    <w:rsid w:val="0082176A"/>
    <w:rsid w:val="00824C5B"/>
    <w:rsid w:val="0083700B"/>
    <w:rsid w:val="00840EFE"/>
    <w:rsid w:val="008456D3"/>
    <w:rsid w:val="0086612B"/>
    <w:rsid w:val="00867C0B"/>
    <w:rsid w:val="008761AB"/>
    <w:rsid w:val="008776BC"/>
    <w:rsid w:val="008828B5"/>
    <w:rsid w:val="008836DB"/>
    <w:rsid w:val="0089582D"/>
    <w:rsid w:val="008B42E6"/>
    <w:rsid w:val="008B69CD"/>
    <w:rsid w:val="008C1525"/>
    <w:rsid w:val="008D0D63"/>
    <w:rsid w:val="008D6C3E"/>
    <w:rsid w:val="008E0286"/>
    <w:rsid w:val="008E31DD"/>
    <w:rsid w:val="008F3B66"/>
    <w:rsid w:val="00905477"/>
    <w:rsid w:val="009106C8"/>
    <w:rsid w:val="0091179F"/>
    <w:rsid w:val="00921102"/>
    <w:rsid w:val="009245B5"/>
    <w:rsid w:val="0093424F"/>
    <w:rsid w:val="00936179"/>
    <w:rsid w:val="00941399"/>
    <w:rsid w:val="00942979"/>
    <w:rsid w:val="00951E16"/>
    <w:rsid w:val="009547E8"/>
    <w:rsid w:val="00955783"/>
    <w:rsid w:val="009610EA"/>
    <w:rsid w:val="0096194A"/>
    <w:rsid w:val="0097082D"/>
    <w:rsid w:val="00980823"/>
    <w:rsid w:val="00982E5D"/>
    <w:rsid w:val="00984FD1"/>
    <w:rsid w:val="009A188E"/>
    <w:rsid w:val="009A27A3"/>
    <w:rsid w:val="009B59CD"/>
    <w:rsid w:val="009C09E1"/>
    <w:rsid w:val="009C1120"/>
    <w:rsid w:val="009D6CB6"/>
    <w:rsid w:val="009E0B86"/>
    <w:rsid w:val="009E19CA"/>
    <w:rsid w:val="009E3F6A"/>
    <w:rsid w:val="009E670F"/>
    <w:rsid w:val="009F69C2"/>
    <w:rsid w:val="009F7B7C"/>
    <w:rsid w:val="00A00EEE"/>
    <w:rsid w:val="00A02B5D"/>
    <w:rsid w:val="00A21633"/>
    <w:rsid w:val="00A31CAA"/>
    <w:rsid w:val="00A50C49"/>
    <w:rsid w:val="00A60275"/>
    <w:rsid w:val="00A76A67"/>
    <w:rsid w:val="00A76B90"/>
    <w:rsid w:val="00A936DF"/>
    <w:rsid w:val="00A9497B"/>
    <w:rsid w:val="00AB1202"/>
    <w:rsid w:val="00AC1243"/>
    <w:rsid w:val="00AC126B"/>
    <w:rsid w:val="00AC4C80"/>
    <w:rsid w:val="00AD4666"/>
    <w:rsid w:val="00AE548A"/>
    <w:rsid w:val="00AE7D71"/>
    <w:rsid w:val="00AF5126"/>
    <w:rsid w:val="00AF60EE"/>
    <w:rsid w:val="00B119C2"/>
    <w:rsid w:val="00B22B17"/>
    <w:rsid w:val="00B2488D"/>
    <w:rsid w:val="00B324CF"/>
    <w:rsid w:val="00B36A69"/>
    <w:rsid w:val="00B42FE3"/>
    <w:rsid w:val="00B458A7"/>
    <w:rsid w:val="00B505F6"/>
    <w:rsid w:val="00B52F47"/>
    <w:rsid w:val="00B5397F"/>
    <w:rsid w:val="00B55421"/>
    <w:rsid w:val="00B6277C"/>
    <w:rsid w:val="00B6458E"/>
    <w:rsid w:val="00B70292"/>
    <w:rsid w:val="00B73FDE"/>
    <w:rsid w:val="00B8569D"/>
    <w:rsid w:val="00B8695A"/>
    <w:rsid w:val="00B957D8"/>
    <w:rsid w:val="00B96380"/>
    <w:rsid w:val="00BA5145"/>
    <w:rsid w:val="00BB3808"/>
    <w:rsid w:val="00BC14AD"/>
    <w:rsid w:val="00BC276E"/>
    <w:rsid w:val="00BC679A"/>
    <w:rsid w:val="00BD16A5"/>
    <w:rsid w:val="00BE18B9"/>
    <w:rsid w:val="00BE2B1A"/>
    <w:rsid w:val="00BE4024"/>
    <w:rsid w:val="00C100B5"/>
    <w:rsid w:val="00C123E5"/>
    <w:rsid w:val="00C13228"/>
    <w:rsid w:val="00C177A3"/>
    <w:rsid w:val="00C24341"/>
    <w:rsid w:val="00C30544"/>
    <w:rsid w:val="00C34647"/>
    <w:rsid w:val="00C50E13"/>
    <w:rsid w:val="00C63AE8"/>
    <w:rsid w:val="00C7761A"/>
    <w:rsid w:val="00C826BC"/>
    <w:rsid w:val="00CA445B"/>
    <w:rsid w:val="00CC6B77"/>
    <w:rsid w:val="00CD524A"/>
    <w:rsid w:val="00CD62C7"/>
    <w:rsid w:val="00CD7ACD"/>
    <w:rsid w:val="00CF0B66"/>
    <w:rsid w:val="00D0002D"/>
    <w:rsid w:val="00D0444E"/>
    <w:rsid w:val="00D0596B"/>
    <w:rsid w:val="00D1472B"/>
    <w:rsid w:val="00D2232D"/>
    <w:rsid w:val="00D274B4"/>
    <w:rsid w:val="00D27ADB"/>
    <w:rsid w:val="00D34A41"/>
    <w:rsid w:val="00D43D1E"/>
    <w:rsid w:val="00D449BC"/>
    <w:rsid w:val="00D53CC8"/>
    <w:rsid w:val="00D57385"/>
    <w:rsid w:val="00D70514"/>
    <w:rsid w:val="00D759D7"/>
    <w:rsid w:val="00D83846"/>
    <w:rsid w:val="00D93440"/>
    <w:rsid w:val="00D96B7D"/>
    <w:rsid w:val="00DA31A9"/>
    <w:rsid w:val="00DA4CC6"/>
    <w:rsid w:val="00DC5A48"/>
    <w:rsid w:val="00DD1ABA"/>
    <w:rsid w:val="00DD3228"/>
    <w:rsid w:val="00DF0AC9"/>
    <w:rsid w:val="00E0558E"/>
    <w:rsid w:val="00E10118"/>
    <w:rsid w:val="00E11A10"/>
    <w:rsid w:val="00E16555"/>
    <w:rsid w:val="00E2105B"/>
    <w:rsid w:val="00E226D6"/>
    <w:rsid w:val="00E267E4"/>
    <w:rsid w:val="00E27AD6"/>
    <w:rsid w:val="00E37A12"/>
    <w:rsid w:val="00E60294"/>
    <w:rsid w:val="00E6781D"/>
    <w:rsid w:val="00E75440"/>
    <w:rsid w:val="00E76ED2"/>
    <w:rsid w:val="00E919C9"/>
    <w:rsid w:val="00E94167"/>
    <w:rsid w:val="00E95434"/>
    <w:rsid w:val="00EA2BBF"/>
    <w:rsid w:val="00EB572E"/>
    <w:rsid w:val="00EC3404"/>
    <w:rsid w:val="00EC5904"/>
    <w:rsid w:val="00EC6998"/>
    <w:rsid w:val="00EC70A2"/>
    <w:rsid w:val="00ED2152"/>
    <w:rsid w:val="00EE031A"/>
    <w:rsid w:val="00EE6F8B"/>
    <w:rsid w:val="00EF4C3D"/>
    <w:rsid w:val="00EF5FA1"/>
    <w:rsid w:val="00EF70A8"/>
    <w:rsid w:val="00F03631"/>
    <w:rsid w:val="00F07439"/>
    <w:rsid w:val="00F1557F"/>
    <w:rsid w:val="00F15638"/>
    <w:rsid w:val="00F24C67"/>
    <w:rsid w:val="00F44063"/>
    <w:rsid w:val="00F47538"/>
    <w:rsid w:val="00F47794"/>
    <w:rsid w:val="00F5008A"/>
    <w:rsid w:val="00F5461F"/>
    <w:rsid w:val="00F5605B"/>
    <w:rsid w:val="00F56638"/>
    <w:rsid w:val="00F64AFE"/>
    <w:rsid w:val="00F70791"/>
    <w:rsid w:val="00F7264C"/>
    <w:rsid w:val="00F74F73"/>
    <w:rsid w:val="00F8235B"/>
    <w:rsid w:val="00F90E0B"/>
    <w:rsid w:val="00F94A1D"/>
    <w:rsid w:val="00FA627F"/>
    <w:rsid w:val="00FA6CD0"/>
    <w:rsid w:val="00FA724B"/>
    <w:rsid w:val="00FB79C9"/>
    <w:rsid w:val="00FD2486"/>
    <w:rsid w:val="00FD5AA5"/>
    <w:rsid w:val="00FF4085"/>
    <w:rsid w:val="00FF73D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566E1"/>
  <w15:chartTrackingRefBased/>
  <w15:docId w15:val="{969BF06C-4263-451C-AF78-3330B7CD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2F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984FD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Gitter1">
    <w:name w:val="Tabel - Gitter1"/>
    <w:basedOn w:val="TableNormal"/>
    <w:next w:val="TableGrid"/>
    <w:uiPriority w:val="59"/>
    <w:rsid w:val="000A4D8B"/>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2BD"/>
    <w:pPr>
      <w:spacing w:after="160" w:line="259" w:lineRule="auto"/>
      <w:ind w:left="720"/>
      <w:contextualSpacing/>
    </w:pPr>
    <w:rPr>
      <w:rFonts w:asciiTheme="minorHAnsi" w:eastAsiaTheme="minorHAnsi" w:hAnsiTheme="minorHAnsi" w:cstheme="minorBidi"/>
      <w:sz w:val="22"/>
      <w:szCs w:val="22"/>
      <w:lang w:val="da-DK" w:eastAsia="en-US"/>
    </w:rPr>
  </w:style>
  <w:style w:type="paragraph" w:styleId="Header">
    <w:name w:val="header"/>
    <w:basedOn w:val="Normal"/>
    <w:link w:val="HeaderChar"/>
    <w:uiPriority w:val="99"/>
    <w:unhideWhenUsed/>
    <w:rsid w:val="00EC5904"/>
    <w:pPr>
      <w:tabs>
        <w:tab w:val="center" w:pos="4819"/>
        <w:tab w:val="right" w:pos="9638"/>
      </w:tabs>
    </w:pPr>
    <w:rPr>
      <w:rFonts w:asciiTheme="minorHAnsi" w:eastAsiaTheme="minorHAnsi" w:hAnsiTheme="minorHAnsi" w:cstheme="minorBidi"/>
      <w:sz w:val="22"/>
      <w:szCs w:val="22"/>
      <w:lang w:val="da-DK" w:eastAsia="en-US"/>
    </w:rPr>
  </w:style>
  <w:style w:type="character" w:customStyle="1" w:styleId="HeaderChar">
    <w:name w:val="Header Char"/>
    <w:basedOn w:val="DefaultParagraphFont"/>
    <w:link w:val="Header"/>
    <w:uiPriority w:val="99"/>
    <w:rsid w:val="00EC5904"/>
  </w:style>
  <w:style w:type="paragraph" w:styleId="Footer">
    <w:name w:val="footer"/>
    <w:basedOn w:val="Normal"/>
    <w:link w:val="FooterChar"/>
    <w:uiPriority w:val="99"/>
    <w:unhideWhenUsed/>
    <w:rsid w:val="00EC5904"/>
    <w:pPr>
      <w:tabs>
        <w:tab w:val="center" w:pos="4819"/>
        <w:tab w:val="right" w:pos="9638"/>
      </w:tabs>
    </w:pPr>
    <w:rPr>
      <w:rFonts w:asciiTheme="minorHAnsi" w:eastAsiaTheme="minorHAnsi" w:hAnsiTheme="minorHAnsi" w:cstheme="minorBidi"/>
      <w:sz w:val="22"/>
      <w:szCs w:val="22"/>
      <w:lang w:val="da-DK" w:eastAsia="en-US"/>
    </w:rPr>
  </w:style>
  <w:style w:type="character" w:customStyle="1" w:styleId="FooterChar">
    <w:name w:val="Footer Char"/>
    <w:basedOn w:val="DefaultParagraphFont"/>
    <w:link w:val="Footer"/>
    <w:uiPriority w:val="99"/>
    <w:rsid w:val="00EC5904"/>
  </w:style>
  <w:style w:type="paragraph" w:styleId="FootnoteText">
    <w:name w:val="footnote text"/>
    <w:basedOn w:val="Normal"/>
    <w:link w:val="FootnoteTextChar"/>
    <w:uiPriority w:val="99"/>
    <w:unhideWhenUsed/>
    <w:rsid w:val="000B6496"/>
    <w:rPr>
      <w:rFonts w:asciiTheme="minorHAnsi" w:eastAsiaTheme="minorHAnsi" w:hAnsiTheme="minorHAnsi" w:cstheme="minorBidi"/>
      <w:sz w:val="20"/>
      <w:szCs w:val="20"/>
      <w:lang w:val="da-DK" w:eastAsia="en-US"/>
    </w:rPr>
  </w:style>
  <w:style w:type="character" w:customStyle="1" w:styleId="FootnoteTextChar">
    <w:name w:val="Footnote Text Char"/>
    <w:basedOn w:val="DefaultParagraphFont"/>
    <w:link w:val="FootnoteText"/>
    <w:uiPriority w:val="99"/>
    <w:rsid w:val="000B6496"/>
    <w:rPr>
      <w:sz w:val="20"/>
      <w:szCs w:val="20"/>
    </w:rPr>
  </w:style>
  <w:style w:type="character" w:styleId="FootnoteReference">
    <w:name w:val="footnote reference"/>
    <w:basedOn w:val="DefaultParagraphFont"/>
    <w:uiPriority w:val="99"/>
    <w:semiHidden/>
    <w:unhideWhenUsed/>
    <w:rsid w:val="000B6496"/>
    <w:rPr>
      <w:vertAlign w:val="superscript"/>
    </w:rPr>
  </w:style>
  <w:style w:type="character" w:styleId="Hyperlink">
    <w:name w:val="Hyperlink"/>
    <w:basedOn w:val="DefaultParagraphFont"/>
    <w:uiPriority w:val="99"/>
    <w:unhideWhenUsed/>
    <w:rsid w:val="000B6496"/>
    <w:rPr>
      <w:color w:val="0563C1" w:themeColor="hyperlink"/>
      <w:u w:val="single"/>
    </w:rPr>
  </w:style>
  <w:style w:type="character" w:customStyle="1" w:styleId="Ulstomtale1">
    <w:name w:val="Uløst omtale1"/>
    <w:basedOn w:val="DefaultParagraphFont"/>
    <w:uiPriority w:val="99"/>
    <w:rsid w:val="000B6496"/>
    <w:rPr>
      <w:color w:val="605E5C"/>
      <w:shd w:val="clear" w:color="auto" w:fill="E1DFDD"/>
    </w:rPr>
  </w:style>
  <w:style w:type="character" w:styleId="CommentReference">
    <w:name w:val="annotation reference"/>
    <w:basedOn w:val="DefaultParagraphFont"/>
    <w:uiPriority w:val="99"/>
    <w:semiHidden/>
    <w:unhideWhenUsed/>
    <w:rsid w:val="00F1557F"/>
    <w:rPr>
      <w:sz w:val="16"/>
      <w:szCs w:val="16"/>
    </w:rPr>
  </w:style>
  <w:style w:type="paragraph" w:styleId="CommentText">
    <w:name w:val="annotation text"/>
    <w:basedOn w:val="Normal"/>
    <w:link w:val="CommentTextChar"/>
    <w:uiPriority w:val="99"/>
    <w:unhideWhenUsed/>
    <w:rsid w:val="00F1557F"/>
    <w:pPr>
      <w:spacing w:after="160"/>
    </w:pPr>
    <w:rPr>
      <w:rFonts w:asciiTheme="minorHAnsi" w:eastAsiaTheme="minorHAnsi" w:hAnsiTheme="minorHAnsi" w:cstheme="minorBidi"/>
      <w:sz w:val="20"/>
      <w:szCs w:val="20"/>
      <w:lang w:val="da-DK" w:eastAsia="en-US"/>
    </w:rPr>
  </w:style>
  <w:style w:type="character" w:customStyle="1" w:styleId="CommentTextChar">
    <w:name w:val="Comment Text Char"/>
    <w:basedOn w:val="DefaultParagraphFont"/>
    <w:link w:val="CommentText"/>
    <w:uiPriority w:val="99"/>
    <w:rsid w:val="00F1557F"/>
    <w:rPr>
      <w:sz w:val="20"/>
      <w:szCs w:val="20"/>
    </w:rPr>
  </w:style>
  <w:style w:type="paragraph" w:styleId="CommentSubject">
    <w:name w:val="annotation subject"/>
    <w:basedOn w:val="CommentText"/>
    <w:next w:val="CommentText"/>
    <w:link w:val="CommentSubjectChar"/>
    <w:uiPriority w:val="99"/>
    <w:semiHidden/>
    <w:unhideWhenUsed/>
    <w:rsid w:val="00F1557F"/>
    <w:rPr>
      <w:b/>
      <w:bCs/>
    </w:rPr>
  </w:style>
  <w:style w:type="character" w:customStyle="1" w:styleId="CommentSubjectChar">
    <w:name w:val="Comment Subject Char"/>
    <w:basedOn w:val="CommentTextChar"/>
    <w:link w:val="CommentSubject"/>
    <w:uiPriority w:val="99"/>
    <w:semiHidden/>
    <w:rsid w:val="00F1557F"/>
    <w:rPr>
      <w:b/>
      <w:bCs/>
      <w:sz w:val="20"/>
      <w:szCs w:val="20"/>
    </w:rPr>
  </w:style>
  <w:style w:type="paragraph" w:styleId="BalloonText">
    <w:name w:val="Balloon Text"/>
    <w:basedOn w:val="Normal"/>
    <w:link w:val="BalloonTextChar"/>
    <w:uiPriority w:val="99"/>
    <w:semiHidden/>
    <w:unhideWhenUsed/>
    <w:rsid w:val="00F1557F"/>
    <w:rPr>
      <w:rFonts w:ascii="Segoe UI" w:eastAsiaTheme="minorHAnsi" w:hAnsi="Segoe UI" w:cs="Segoe UI"/>
      <w:sz w:val="18"/>
      <w:szCs w:val="18"/>
      <w:lang w:val="da-DK" w:eastAsia="en-US"/>
    </w:rPr>
  </w:style>
  <w:style w:type="character" w:customStyle="1" w:styleId="BalloonTextChar">
    <w:name w:val="Balloon Text Char"/>
    <w:basedOn w:val="DefaultParagraphFont"/>
    <w:link w:val="BalloonText"/>
    <w:uiPriority w:val="99"/>
    <w:semiHidden/>
    <w:rsid w:val="00F1557F"/>
    <w:rPr>
      <w:rFonts w:ascii="Segoe UI" w:hAnsi="Segoe UI" w:cs="Segoe UI"/>
      <w:sz w:val="18"/>
      <w:szCs w:val="18"/>
    </w:rPr>
  </w:style>
  <w:style w:type="paragraph" w:styleId="Revision">
    <w:name w:val="Revision"/>
    <w:hidden/>
    <w:uiPriority w:val="99"/>
    <w:semiHidden/>
    <w:rsid w:val="002F2A98"/>
    <w:pPr>
      <w:spacing w:after="0" w:line="240" w:lineRule="auto"/>
    </w:pPr>
  </w:style>
  <w:style w:type="paragraph" w:styleId="NormalWeb">
    <w:name w:val="Normal (Web)"/>
    <w:basedOn w:val="Normal"/>
    <w:uiPriority w:val="99"/>
    <w:unhideWhenUsed/>
    <w:rsid w:val="00E95434"/>
    <w:pPr>
      <w:spacing w:before="100" w:beforeAutospacing="1" w:after="100" w:afterAutospacing="1"/>
    </w:pPr>
  </w:style>
  <w:style w:type="paragraph" w:styleId="NoSpacing">
    <w:name w:val="No Spacing"/>
    <w:uiPriority w:val="1"/>
    <w:qFormat/>
    <w:rsid w:val="00B2488D"/>
    <w:pPr>
      <w:spacing w:after="0" w:line="240" w:lineRule="auto"/>
    </w:pPr>
  </w:style>
  <w:style w:type="character" w:customStyle="1" w:styleId="UnresolvedMention">
    <w:name w:val="Unresolved Mention"/>
    <w:basedOn w:val="DefaultParagraphFont"/>
    <w:uiPriority w:val="99"/>
    <w:semiHidden/>
    <w:unhideWhenUsed/>
    <w:rsid w:val="009610EA"/>
    <w:rPr>
      <w:color w:val="605E5C"/>
      <w:shd w:val="clear" w:color="auto" w:fill="E1DFDD"/>
    </w:rPr>
  </w:style>
  <w:style w:type="character" w:customStyle="1" w:styleId="Heading1Char">
    <w:name w:val="Heading 1 Char"/>
    <w:basedOn w:val="DefaultParagraphFont"/>
    <w:link w:val="Heading1"/>
    <w:uiPriority w:val="9"/>
    <w:rsid w:val="00984FD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94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6993">
      <w:bodyDiv w:val="1"/>
      <w:marLeft w:val="0"/>
      <w:marRight w:val="0"/>
      <w:marTop w:val="0"/>
      <w:marBottom w:val="0"/>
      <w:divBdr>
        <w:top w:val="none" w:sz="0" w:space="0" w:color="auto"/>
        <w:left w:val="none" w:sz="0" w:space="0" w:color="auto"/>
        <w:bottom w:val="none" w:sz="0" w:space="0" w:color="auto"/>
        <w:right w:val="none" w:sz="0" w:space="0" w:color="auto"/>
      </w:divBdr>
    </w:div>
    <w:div w:id="121732621">
      <w:bodyDiv w:val="1"/>
      <w:marLeft w:val="0"/>
      <w:marRight w:val="0"/>
      <w:marTop w:val="0"/>
      <w:marBottom w:val="0"/>
      <w:divBdr>
        <w:top w:val="none" w:sz="0" w:space="0" w:color="auto"/>
        <w:left w:val="none" w:sz="0" w:space="0" w:color="auto"/>
        <w:bottom w:val="none" w:sz="0" w:space="0" w:color="auto"/>
        <w:right w:val="none" w:sz="0" w:space="0" w:color="auto"/>
      </w:divBdr>
    </w:div>
    <w:div w:id="211187175">
      <w:bodyDiv w:val="1"/>
      <w:marLeft w:val="0"/>
      <w:marRight w:val="0"/>
      <w:marTop w:val="0"/>
      <w:marBottom w:val="0"/>
      <w:divBdr>
        <w:top w:val="none" w:sz="0" w:space="0" w:color="auto"/>
        <w:left w:val="none" w:sz="0" w:space="0" w:color="auto"/>
        <w:bottom w:val="none" w:sz="0" w:space="0" w:color="auto"/>
        <w:right w:val="none" w:sz="0" w:space="0" w:color="auto"/>
      </w:divBdr>
    </w:div>
    <w:div w:id="232400518">
      <w:bodyDiv w:val="1"/>
      <w:marLeft w:val="0"/>
      <w:marRight w:val="0"/>
      <w:marTop w:val="0"/>
      <w:marBottom w:val="0"/>
      <w:divBdr>
        <w:top w:val="none" w:sz="0" w:space="0" w:color="auto"/>
        <w:left w:val="none" w:sz="0" w:space="0" w:color="auto"/>
        <w:bottom w:val="none" w:sz="0" w:space="0" w:color="auto"/>
        <w:right w:val="none" w:sz="0" w:space="0" w:color="auto"/>
      </w:divBdr>
    </w:div>
    <w:div w:id="309599840">
      <w:bodyDiv w:val="1"/>
      <w:marLeft w:val="0"/>
      <w:marRight w:val="0"/>
      <w:marTop w:val="0"/>
      <w:marBottom w:val="0"/>
      <w:divBdr>
        <w:top w:val="none" w:sz="0" w:space="0" w:color="auto"/>
        <w:left w:val="none" w:sz="0" w:space="0" w:color="auto"/>
        <w:bottom w:val="none" w:sz="0" w:space="0" w:color="auto"/>
        <w:right w:val="none" w:sz="0" w:space="0" w:color="auto"/>
      </w:divBdr>
    </w:div>
    <w:div w:id="378674344">
      <w:bodyDiv w:val="1"/>
      <w:marLeft w:val="0"/>
      <w:marRight w:val="0"/>
      <w:marTop w:val="0"/>
      <w:marBottom w:val="0"/>
      <w:divBdr>
        <w:top w:val="none" w:sz="0" w:space="0" w:color="auto"/>
        <w:left w:val="none" w:sz="0" w:space="0" w:color="auto"/>
        <w:bottom w:val="none" w:sz="0" w:space="0" w:color="auto"/>
        <w:right w:val="none" w:sz="0" w:space="0" w:color="auto"/>
      </w:divBdr>
    </w:div>
    <w:div w:id="442695754">
      <w:bodyDiv w:val="1"/>
      <w:marLeft w:val="0"/>
      <w:marRight w:val="0"/>
      <w:marTop w:val="0"/>
      <w:marBottom w:val="0"/>
      <w:divBdr>
        <w:top w:val="none" w:sz="0" w:space="0" w:color="auto"/>
        <w:left w:val="none" w:sz="0" w:space="0" w:color="auto"/>
        <w:bottom w:val="none" w:sz="0" w:space="0" w:color="auto"/>
        <w:right w:val="none" w:sz="0" w:space="0" w:color="auto"/>
      </w:divBdr>
    </w:div>
    <w:div w:id="461504988">
      <w:bodyDiv w:val="1"/>
      <w:marLeft w:val="0"/>
      <w:marRight w:val="0"/>
      <w:marTop w:val="0"/>
      <w:marBottom w:val="0"/>
      <w:divBdr>
        <w:top w:val="none" w:sz="0" w:space="0" w:color="auto"/>
        <w:left w:val="none" w:sz="0" w:space="0" w:color="auto"/>
        <w:bottom w:val="none" w:sz="0" w:space="0" w:color="auto"/>
        <w:right w:val="none" w:sz="0" w:space="0" w:color="auto"/>
      </w:divBdr>
    </w:div>
    <w:div w:id="487790317">
      <w:bodyDiv w:val="1"/>
      <w:marLeft w:val="0"/>
      <w:marRight w:val="0"/>
      <w:marTop w:val="0"/>
      <w:marBottom w:val="0"/>
      <w:divBdr>
        <w:top w:val="none" w:sz="0" w:space="0" w:color="auto"/>
        <w:left w:val="none" w:sz="0" w:space="0" w:color="auto"/>
        <w:bottom w:val="none" w:sz="0" w:space="0" w:color="auto"/>
        <w:right w:val="none" w:sz="0" w:space="0" w:color="auto"/>
      </w:divBdr>
    </w:div>
    <w:div w:id="493033743">
      <w:bodyDiv w:val="1"/>
      <w:marLeft w:val="0"/>
      <w:marRight w:val="0"/>
      <w:marTop w:val="0"/>
      <w:marBottom w:val="0"/>
      <w:divBdr>
        <w:top w:val="none" w:sz="0" w:space="0" w:color="auto"/>
        <w:left w:val="none" w:sz="0" w:space="0" w:color="auto"/>
        <w:bottom w:val="none" w:sz="0" w:space="0" w:color="auto"/>
        <w:right w:val="none" w:sz="0" w:space="0" w:color="auto"/>
      </w:divBdr>
    </w:div>
    <w:div w:id="570851244">
      <w:bodyDiv w:val="1"/>
      <w:marLeft w:val="0"/>
      <w:marRight w:val="0"/>
      <w:marTop w:val="0"/>
      <w:marBottom w:val="0"/>
      <w:divBdr>
        <w:top w:val="none" w:sz="0" w:space="0" w:color="auto"/>
        <w:left w:val="none" w:sz="0" w:space="0" w:color="auto"/>
        <w:bottom w:val="none" w:sz="0" w:space="0" w:color="auto"/>
        <w:right w:val="none" w:sz="0" w:space="0" w:color="auto"/>
      </w:divBdr>
    </w:div>
    <w:div w:id="572935619">
      <w:bodyDiv w:val="1"/>
      <w:marLeft w:val="0"/>
      <w:marRight w:val="0"/>
      <w:marTop w:val="0"/>
      <w:marBottom w:val="0"/>
      <w:divBdr>
        <w:top w:val="none" w:sz="0" w:space="0" w:color="auto"/>
        <w:left w:val="none" w:sz="0" w:space="0" w:color="auto"/>
        <w:bottom w:val="none" w:sz="0" w:space="0" w:color="auto"/>
        <w:right w:val="none" w:sz="0" w:space="0" w:color="auto"/>
      </w:divBdr>
    </w:div>
    <w:div w:id="707684640">
      <w:bodyDiv w:val="1"/>
      <w:marLeft w:val="0"/>
      <w:marRight w:val="0"/>
      <w:marTop w:val="0"/>
      <w:marBottom w:val="0"/>
      <w:divBdr>
        <w:top w:val="none" w:sz="0" w:space="0" w:color="auto"/>
        <w:left w:val="none" w:sz="0" w:space="0" w:color="auto"/>
        <w:bottom w:val="none" w:sz="0" w:space="0" w:color="auto"/>
        <w:right w:val="none" w:sz="0" w:space="0" w:color="auto"/>
      </w:divBdr>
    </w:div>
    <w:div w:id="731580796">
      <w:bodyDiv w:val="1"/>
      <w:marLeft w:val="0"/>
      <w:marRight w:val="0"/>
      <w:marTop w:val="0"/>
      <w:marBottom w:val="0"/>
      <w:divBdr>
        <w:top w:val="none" w:sz="0" w:space="0" w:color="auto"/>
        <w:left w:val="none" w:sz="0" w:space="0" w:color="auto"/>
        <w:bottom w:val="none" w:sz="0" w:space="0" w:color="auto"/>
        <w:right w:val="none" w:sz="0" w:space="0" w:color="auto"/>
      </w:divBdr>
    </w:div>
    <w:div w:id="737745928">
      <w:bodyDiv w:val="1"/>
      <w:marLeft w:val="0"/>
      <w:marRight w:val="0"/>
      <w:marTop w:val="0"/>
      <w:marBottom w:val="0"/>
      <w:divBdr>
        <w:top w:val="none" w:sz="0" w:space="0" w:color="auto"/>
        <w:left w:val="none" w:sz="0" w:space="0" w:color="auto"/>
        <w:bottom w:val="none" w:sz="0" w:space="0" w:color="auto"/>
        <w:right w:val="none" w:sz="0" w:space="0" w:color="auto"/>
      </w:divBdr>
    </w:div>
    <w:div w:id="775906066">
      <w:bodyDiv w:val="1"/>
      <w:marLeft w:val="0"/>
      <w:marRight w:val="0"/>
      <w:marTop w:val="0"/>
      <w:marBottom w:val="0"/>
      <w:divBdr>
        <w:top w:val="none" w:sz="0" w:space="0" w:color="auto"/>
        <w:left w:val="none" w:sz="0" w:space="0" w:color="auto"/>
        <w:bottom w:val="none" w:sz="0" w:space="0" w:color="auto"/>
        <w:right w:val="none" w:sz="0" w:space="0" w:color="auto"/>
      </w:divBdr>
    </w:div>
    <w:div w:id="861668881">
      <w:bodyDiv w:val="1"/>
      <w:marLeft w:val="0"/>
      <w:marRight w:val="0"/>
      <w:marTop w:val="0"/>
      <w:marBottom w:val="0"/>
      <w:divBdr>
        <w:top w:val="none" w:sz="0" w:space="0" w:color="auto"/>
        <w:left w:val="none" w:sz="0" w:space="0" w:color="auto"/>
        <w:bottom w:val="none" w:sz="0" w:space="0" w:color="auto"/>
        <w:right w:val="none" w:sz="0" w:space="0" w:color="auto"/>
      </w:divBdr>
    </w:div>
    <w:div w:id="864364501">
      <w:bodyDiv w:val="1"/>
      <w:marLeft w:val="0"/>
      <w:marRight w:val="0"/>
      <w:marTop w:val="0"/>
      <w:marBottom w:val="0"/>
      <w:divBdr>
        <w:top w:val="none" w:sz="0" w:space="0" w:color="auto"/>
        <w:left w:val="none" w:sz="0" w:space="0" w:color="auto"/>
        <w:bottom w:val="none" w:sz="0" w:space="0" w:color="auto"/>
        <w:right w:val="none" w:sz="0" w:space="0" w:color="auto"/>
      </w:divBdr>
    </w:div>
    <w:div w:id="880092932">
      <w:bodyDiv w:val="1"/>
      <w:marLeft w:val="0"/>
      <w:marRight w:val="0"/>
      <w:marTop w:val="0"/>
      <w:marBottom w:val="0"/>
      <w:divBdr>
        <w:top w:val="none" w:sz="0" w:space="0" w:color="auto"/>
        <w:left w:val="none" w:sz="0" w:space="0" w:color="auto"/>
        <w:bottom w:val="none" w:sz="0" w:space="0" w:color="auto"/>
        <w:right w:val="none" w:sz="0" w:space="0" w:color="auto"/>
      </w:divBdr>
    </w:div>
    <w:div w:id="990527829">
      <w:bodyDiv w:val="1"/>
      <w:marLeft w:val="0"/>
      <w:marRight w:val="0"/>
      <w:marTop w:val="0"/>
      <w:marBottom w:val="0"/>
      <w:divBdr>
        <w:top w:val="none" w:sz="0" w:space="0" w:color="auto"/>
        <w:left w:val="none" w:sz="0" w:space="0" w:color="auto"/>
        <w:bottom w:val="none" w:sz="0" w:space="0" w:color="auto"/>
        <w:right w:val="none" w:sz="0" w:space="0" w:color="auto"/>
      </w:divBdr>
    </w:div>
    <w:div w:id="1033921399">
      <w:bodyDiv w:val="1"/>
      <w:marLeft w:val="0"/>
      <w:marRight w:val="0"/>
      <w:marTop w:val="0"/>
      <w:marBottom w:val="0"/>
      <w:divBdr>
        <w:top w:val="none" w:sz="0" w:space="0" w:color="auto"/>
        <w:left w:val="none" w:sz="0" w:space="0" w:color="auto"/>
        <w:bottom w:val="none" w:sz="0" w:space="0" w:color="auto"/>
        <w:right w:val="none" w:sz="0" w:space="0" w:color="auto"/>
      </w:divBdr>
    </w:div>
    <w:div w:id="1104885105">
      <w:bodyDiv w:val="1"/>
      <w:marLeft w:val="0"/>
      <w:marRight w:val="0"/>
      <w:marTop w:val="0"/>
      <w:marBottom w:val="0"/>
      <w:divBdr>
        <w:top w:val="none" w:sz="0" w:space="0" w:color="auto"/>
        <w:left w:val="none" w:sz="0" w:space="0" w:color="auto"/>
        <w:bottom w:val="none" w:sz="0" w:space="0" w:color="auto"/>
        <w:right w:val="none" w:sz="0" w:space="0" w:color="auto"/>
      </w:divBdr>
    </w:div>
    <w:div w:id="1129322581">
      <w:bodyDiv w:val="1"/>
      <w:marLeft w:val="0"/>
      <w:marRight w:val="0"/>
      <w:marTop w:val="0"/>
      <w:marBottom w:val="0"/>
      <w:divBdr>
        <w:top w:val="none" w:sz="0" w:space="0" w:color="auto"/>
        <w:left w:val="none" w:sz="0" w:space="0" w:color="auto"/>
        <w:bottom w:val="none" w:sz="0" w:space="0" w:color="auto"/>
        <w:right w:val="none" w:sz="0" w:space="0" w:color="auto"/>
      </w:divBdr>
    </w:div>
    <w:div w:id="1224751969">
      <w:bodyDiv w:val="1"/>
      <w:marLeft w:val="0"/>
      <w:marRight w:val="0"/>
      <w:marTop w:val="0"/>
      <w:marBottom w:val="0"/>
      <w:divBdr>
        <w:top w:val="none" w:sz="0" w:space="0" w:color="auto"/>
        <w:left w:val="none" w:sz="0" w:space="0" w:color="auto"/>
        <w:bottom w:val="none" w:sz="0" w:space="0" w:color="auto"/>
        <w:right w:val="none" w:sz="0" w:space="0" w:color="auto"/>
      </w:divBdr>
    </w:div>
    <w:div w:id="1240554309">
      <w:bodyDiv w:val="1"/>
      <w:marLeft w:val="0"/>
      <w:marRight w:val="0"/>
      <w:marTop w:val="0"/>
      <w:marBottom w:val="0"/>
      <w:divBdr>
        <w:top w:val="none" w:sz="0" w:space="0" w:color="auto"/>
        <w:left w:val="none" w:sz="0" w:space="0" w:color="auto"/>
        <w:bottom w:val="none" w:sz="0" w:space="0" w:color="auto"/>
        <w:right w:val="none" w:sz="0" w:space="0" w:color="auto"/>
      </w:divBdr>
    </w:div>
    <w:div w:id="1262026771">
      <w:bodyDiv w:val="1"/>
      <w:marLeft w:val="0"/>
      <w:marRight w:val="0"/>
      <w:marTop w:val="0"/>
      <w:marBottom w:val="0"/>
      <w:divBdr>
        <w:top w:val="none" w:sz="0" w:space="0" w:color="auto"/>
        <w:left w:val="none" w:sz="0" w:space="0" w:color="auto"/>
        <w:bottom w:val="none" w:sz="0" w:space="0" w:color="auto"/>
        <w:right w:val="none" w:sz="0" w:space="0" w:color="auto"/>
      </w:divBdr>
    </w:div>
    <w:div w:id="1313605510">
      <w:bodyDiv w:val="1"/>
      <w:marLeft w:val="0"/>
      <w:marRight w:val="0"/>
      <w:marTop w:val="0"/>
      <w:marBottom w:val="0"/>
      <w:divBdr>
        <w:top w:val="none" w:sz="0" w:space="0" w:color="auto"/>
        <w:left w:val="none" w:sz="0" w:space="0" w:color="auto"/>
        <w:bottom w:val="none" w:sz="0" w:space="0" w:color="auto"/>
        <w:right w:val="none" w:sz="0" w:space="0" w:color="auto"/>
      </w:divBdr>
    </w:div>
    <w:div w:id="1339504667">
      <w:bodyDiv w:val="1"/>
      <w:marLeft w:val="0"/>
      <w:marRight w:val="0"/>
      <w:marTop w:val="0"/>
      <w:marBottom w:val="0"/>
      <w:divBdr>
        <w:top w:val="none" w:sz="0" w:space="0" w:color="auto"/>
        <w:left w:val="none" w:sz="0" w:space="0" w:color="auto"/>
        <w:bottom w:val="none" w:sz="0" w:space="0" w:color="auto"/>
        <w:right w:val="none" w:sz="0" w:space="0" w:color="auto"/>
      </w:divBdr>
    </w:div>
    <w:div w:id="1368065612">
      <w:bodyDiv w:val="1"/>
      <w:marLeft w:val="0"/>
      <w:marRight w:val="0"/>
      <w:marTop w:val="0"/>
      <w:marBottom w:val="0"/>
      <w:divBdr>
        <w:top w:val="none" w:sz="0" w:space="0" w:color="auto"/>
        <w:left w:val="none" w:sz="0" w:space="0" w:color="auto"/>
        <w:bottom w:val="none" w:sz="0" w:space="0" w:color="auto"/>
        <w:right w:val="none" w:sz="0" w:space="0" w:color="auto"/>
      </w:divBdr>
    </w:div>
    <w:div w:id="1597395773">
      <w:bodyDiv w:val="1"/>
      <w:marLeft w:val="0"/>
      <w:marRight w:val="0"/>
      <w:marTop w:val="0"/>
      <w:marBottom w:val="0"/>
      <w:divBdr>
        <w:top w:val="none" w:sz="0" w:space="0" w:color="auto"/>
        <w:left w:val="none" w:sz="0" w:space="0" w:color="auto"/>
        <w:bottom w:val="none" w:sz="0" w:space="0" w:color="auto"/>
        <w:right w:val="none" w:sz="0" w:space="0" w:color="auto"/>
      </w:divBdr>
    </w:div>
    <w:div w:id="1630549331">
      <w:bodyDiv w:val="1"/>
      <w:marLeft w:val="0"/>
      <w:marRight w:val="0"/>
      <w:marTop w:val="0"/>
      <w:marBottom w:val="0"/>
      <w:divBdr>
        <w:top w:val="none" w:sz="0" w:space="0" w:color="auto"/>
        <w:left w:val="none" w:sz="0" w:space="0" w:color="auto"/>
        <w:bottom w:val="none" w:sz="0" w:space="0" w:color="auto"/>
        <w:right w:val="none" w:sz="0" w:space="0" w:color="auto"/>
      </w:divBdr>
    </w:div>
    <w:div w:id="1670861940">
      <w:bodyDiv w:val="1"/>
      <w:marLeft w:val="0"/>
      <w:marRight w:val="0"/>
      <w:marTop w:val="0"/>
      <w:marBottom w:val="0"/>
      <w:divBdr>
        <w:top w:val="none" w:sz="0" w:space="0" w:color="auto"/>
        <w:left w:val="none" w:sz="0" w:space="0" w:color="auto"/>
        <w:bottom w:val="none" w:sz="0" w:space="0" w:color="auto"/>
        <w:right w:val="none" w:sz="0" w:space="0" w:color="auto"/>
      </w:divBdr>
    </w:div>
    <w:div w:id="1807352318">
      <w:bodyDiv w:val="1"/>
      <w:marLeft w:val="0"/>
      <w:marRight w:val="0"/>
      <w:marTop w:val="0"/>
      <w:marBottom w:val="0"/>
      <w:divBdr>
        <w:top w:val="none" w:sz="0" w:space="0" w:color="auto"/>
        <w:left w:val="none" w:sz="0" w:space="0" w:color="auto"/>
        <w:bottom w:val="none" w:sz="0" w:space="0" w:color="auto"/>
        <w:right w:val="none" w:sz="0" w:space="0" w:color="auto"/>
      </w:divBdr>
    </w:div>
    <w:div w:id="1816289870">
      <w:bodyDiv w:val="1"/>
      <w:marLeft w:val="0"/>
      <w:marRight w:val="0"/>
      <w:marTop w:val="0"/>
      <w:marBottom w:val="0"/>
      <w:divBdr>
        <w:top w:val="none" w:sz="0" w:space="0" w:color="auto"/>
        <w:left w:val="none" w:sz="0" w:space="0" w:color="auto"/>
        <w:bottom w:val="none" w:sz="0" w:space="0" w:color="auto"/>
        <w:right w:val="none" w:sz="0" w:space="0" w:color="auto"/>
      </w:divBdr>
    </w:div>
    <w:div w:id="1904020625">
      <w:bodyDiv w:val="1"/>
      <w:marLeft w:val="0"/>
      <w:marRight w:val="0"/>
      <w:marTop w:val="0"/>
      <w:marBottom w:val="0"/>
      <w:divBdr>
        <w:top w:val="none" w:sz="0" w:space="0" w:color="auto"/>
        <w:left w:val="none" w:sz="0" w:space="0" w:color="auto"/>
        <w:bottom w:val="none" w:sz="0" w:space="0" w:color="auto"/>
        <w:right w:val="none" w:sz="0" w:space="0" w:color="auto"/>
      </w:divBdr>
    </w:div>
    <w:div w:id="1906144226">
      <w:bodyDiv w:val="1"/>
      <w:marLeft w:val="0"/>
      <w:marRight w:val="0"/>
      <w:marTop w:val="0"/>
      <w:marBottom w:val="0"/>
      <w:divBdr>
        <w:top w:val="none" w:sz="0" w:space="0" w:color="auto"/>
        <w:left w:val="none" w:sz="0" w:space="0" w:color="auto"/>
        <w:bottom w:val="none" w:sz="0" w:space="0" w:color="auto"/>
        <w:right w:val="none" w:sz="0" w:space="0" w:color="auto"/>
      </w:divBdr>
    </w:div>
    <w:div w:id="1921330980">
      <w:bodyDiv w:val="1"/>
      <w:marLeft w:val="0"/>
      <w:marRight w:val="0"/>
      <w:marTop w:val="0"/>
      <w:marBottom w:val="0"/>
      <w:divBdr>
        <w:top w:val="none" w:sz="0" w:space="0" w:color="auto"/>
        <w:left w:val="none" w:sz="0" w:space="0" w:color="auto"/>
        <w:bottom w:val="none" w:sz="0" w:space="0" w:color="auto"/>
        <w:right w:val="none" w:sz="0" w:space="0" w:color="auto"/>
      </w:divBdr>
    </w:div>
    <w:div w:id="1957908827">
      <w:bodyDiv w:val="1"/>
      <w:marLeft w:val="0"/>
      <w:marRight w:val="0"/>
      <w:marTop w:val="0"/>
      <w:marBottom w:val="0"/>
      <w:divBdr>
        <w:top w:val="none" w:sz="0" w:space="0" w:color="auto"/>
        <w:left w:val="none" w:sz="0" w:space="0" w:color="auto"/>
        <w:bottom w:val="none" w:sz="0" w:space="0" w:color="auto"/>
        <w:right w:val="none" w:sz="0" w:space="0" w:color="auto"/>
      </w:divBdr>
    </w:div>
    <w:div w:id="1963656836">
      <w:bodyDiv w:val="1"/>
      <w:marLeft w:val="0"/>
      <w:marRight w:val="0"/>
      <w:marTop w:val="0"/>
      <w:marBottom w:val="0"/>
      <w:divBdr>
        <w:top w:val="none" w:sz="0" w:space="0" w:color="auto"/>
        <w:left w:val="none" w:sz="0" w:space="0" w:color="auto"/>
        <w:bottom w:val="none" w:sz="0" w:space="0" w:color="auto"/>
        <w:right w:val="none" w:sz="0" w:space="0" w:color="auto"/>
      </w:divBdr>
    </w:div>
    <w:div w:id="2079401911">
      <w:bodyDiv w:val="1"/>
      <w:marLeft w:val="0"/>
      <w:marRight w:val="0"/>
      <w:marTop w:val="0"/>
      <w:marBottom w:val="0"/>
      <w:divBdr>
        <w:top w:val="none" w:sz="0" w:space="0" w:color="auto"/>
        <w:left w:val="none" w:sz="0" w:space="0" w:color="auto"/>
        <w:bottom w:val="none" w:sz="0" w:space="0" w:color="auto"/>
        <w:right w:val="none" w:sz="0" w:space="0" w:color="auto"/>
      </w:divBdr>
    </w:div>
    <w:div w:id="21191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voc.unesco.org/wtdb/worldtvetdatabase_nam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esdoc.unesco.org/ark:/48223/pf0000245818" TargetMode="External"/><Relationship Id="rId4" Type="http://schemas.openxmlformats.org/officeDocument/2006/relationships/settings" Target="settings.xml"/><Relationship Id="rId9" Type="http://schemas.openxmlformats.org/officeDocument/2006/relationships/hyperlink" Target="https://www.giz.de/en/worldwide/323.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iz.de/en/worldwide/323.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D890-00D8-4ED1-A3B5-8CEEC874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Bo Poulsen</dc:creator>
  <cp:lastModifiedBy>Trutt, Werner</cp:lastModifiedBy>
  <cp:revision>3</cp:revision>
  <dcterms:created xsi:type="dcterms:W3CDTF">2022-10-21T15:30:00Z</dcterms:created>
  <dcterms:modified xsi:type="dcterms:W3CDTF">2022-11-29T09:41:00Z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86da9f749221cac6336be58ffa85799a4db765c32384483c664713621949df49</vt:lpwstr>
  </property>
</Properties>
</file>